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0" w:lineRule="atLeast"/>
        <w:ind w:left="0" w:leftChars="0" w:right="0" w:rightChars="0" w:firstLine="0"/>
        <w:jc w:val="center"/>
        <w:textAlignment w:val="auto"/>
        <w:rPr>
          <w:rFonts w:ascii="Calibri" w:hAnsi="Calibri" w:cs="Calibri"/>
          <w:i w:val="0"/>
          <w:caps w:val="0"/>
          <w:color w:val="000000" w:themeColor="text1"/>
          <w:spacing w:val="0"/>
          <w:sz w:val="24"/>
          <w:szCs w:val="24"/>
          <w14:textFill>
            <w14:solidFill>
              <w14:schemeClr w14:val="tx1"/>
            </w14:solidFill>
          </w14:textFill>
        </w:rPr>
      </w:pPr>
      <w:r>
        <w:rPr>
          <w:rFonts w:hint="eastAsia" w:ascii="方正小标宋简体" w:hAnsi="方正小标宋简体" w:eastAsia="方正小标宋简体" w:cs="方正小标宋简体"/>
          <w:i w:val="0"/>
          <w:caps w:val="0"/>
          <w:color w:val="000000" w:themeColor="text1"/>
          <w:spacing w:val="0"/>
          <w:sz w:val="44"/>
          <w:szCs w:val="44"/>
          <w:shd w:val="clear" w:fill="FFFFFF"/>
          <w:lang w:val="en-US" w:eastAsia="zh-CN"/>
          <w14:textFill>
            <w14:solidFill>
              <w14:schemeClr w14:val="tx1"/>
            </w14:solidFill>
          </w14:textFill>
        </w:rPr>
        <w:t>海原县市政</w:t>
      </w:r>
      <w:r>
        <w:rPr>
          <w:rFonts w:hint="eastAsia" w:ascii="方正小标宋简体" w:hAnsi="方正小标宋简体" w:eastAsia="方正小标宋简体" w:cs="方正小标宋简体"/>
          <w:i w:val="0"/>
          <w:caps w:val="0"/>
          <w:color w:val="000000" w:themeColor="text1"/>
          <w:spacing w:val="0"/>
          <w:sz w:val="44"/>
          <w:szCs w:val="44"/>
          <w:shd w:val="clear" w:fill="FFFFFF"/>
          <w14:textFill>
            <w14:solidFill>
              <w14:schemeClr w14:val="tx1"/>
            </w14:solidFill>
          </w14:textFill>
        </w:rPr>
        <w:t>道路开挖管理办法</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5" w:lineRule="atLeast"/>
        <w:ind w:left="0" w:leftChars="0" w:right="0" w:rightChars="0" w:firstLine="0"/>
        <w:jc w:val="center"/>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ascii="黑体" w:hAnsi="宋体" w:eastAsia="黑体" w:cs="黑体"/>
          <w:i w:val="0"/>
          <w:caps w:val="0"/>
          <w:color w:val="000000" w:themeColor="text1"/>
          <w:spacing w:val="0"/>
          <w:sz w:val="32"/>
          <w:szCs w:val="32"/>
          <w:shd w:val="clear" w:fill="FFFFFF"/>
          <w14:textFill>
            <w14:solidFill>
              <w14:schemeClr w14:val="tx1"/>
            </w14:solidFill>
          </w14:textFill>
        </w:rPr>
        <w:t>第一章 总则</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6"/>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第一条</w:t>
      </w:r>
      <w:r>
        <w:rPr>
          <w:rFonts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微软雅黑" w:hAnsi="微软雅黑" w:eastAsia="微软雅黑" w:cs="微软雅黑"/>
          <w:i w:val="0"/>
          <w:caps w:val="0"/>
          <w:color w:val="000000" w:themeColor="text1"/>
          <w:spacing w:val="0"/>
          <w:sz w:val="31"/>
          <w:szCs w:val="31"/>
          <w:shd w:val="clear" w:fill="FFFFFF"/>
          <w14:textFill>
            <w14:solidFill>
              <w14:schemeClr w14:val="tx1"/>
            </w14:solidFill>
          </w14:textFill>
        </w:rPr>
        <w:t> </w:t>
      </w:r>
      <w:r>
        <w:rPr>
          <w:rFonts w:ascii="仿宋_GB2312" w:hAnsi="Calibri" w:eastAsia="仿宋_GB2312" w:cs="仿宋_GB2312"/>
          <w:i w:val="0"/>
          <w:caps w:val="0"/>
          <w:color w:val="000000" w:themeColor="text1"/>
          <w:spacing w:val="0"/>
          <w:sz w:val="32"/>
          <w:szCs w:val="32"/>
          <w:shd w:val="clear" w:fill="FFFFFF"/>
          <w14:textFill>
            <w14:solidFill>
              <w14:schemeClr w14:val="tx1"/>
            </w14:solidFill>
          </w14:textFill>
        </w:rPr>
        <w:t>为进一步规范城市</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市政</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道路开挖行为，发挥城市道路功能，提高城市管理水平，根据国务院《城市道路管理条例》（国务院令第198号）、《</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宁夏回族自治区市容环境卫生</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管理条例》等有关规定，结合本县实际，制定本办法。</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6"/>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第二条</w:t>
      </w:r>
      <w:r>
        <w:rPr>
          <w:rFonts w:hint="eastAsia" w:ascii="微软雅黑" w:hAnsi="微软雅黑" w:eastAsia="微软雅黑" w:cs="微软雅黑"/>
          <w:i w:val="0"/>
          <w:caps w:val="0"/>
          <w:color w:val="000000" w:themeColor="text1"/>
          <w:spacing w:val="0"/>
          <w:sz w:val="31"/>
          <w:szCs w:val="31"/>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在本县城区范围内，因敷设、维修地下管线或者进行其他建设工程，需要挖掘机动车道、非机动车道、人行道、公共广场、过街地下通道、内街以及桥梁、隧道、公共绿地等城市道路的，适用本办法。</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6"/>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第三条</w:t>
      </w:r>
      <w:r>
        <w:rPr>
          <w:rFonts w:hint="eastAsia" w:ascii="微软雅黑" w:hAnsi="微软雅黑" w:eastAsia="微软雅黑" w:cs="微软雅黑"/>
          <w:i w:val="0"/>
          <w:caps w:val="0"/>
          <w:color w:val="000000" w:themeColor="text1"/>
          <w:spacing w:val="0"/>
          <w:sz w:val="31"/>
          <w:szCs w:val="31"/>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由县城市管理</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综合执法</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部门负责受理开挖审批前的备案管理。凡未经备案和审批的，任何单位或者个人不得开挖城市</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市政</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道路。经批准挖掘城市</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市政</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道路的，应当尽量减少对行人和交通的影响。</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5" w:lineRule="atLeast"/>
        <w:ind w:left="0" w:leftChars="0" w:right="0" w:rightChars="0"/>
        <w:jc w:val="center"/>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1"/>
          <w:szCs w:val="31"/>
          <w:shd w:val="clear" w:fill="FFFFFF"/>
          <w14:textFill>
            <w14:solidFill>
              <w14:schemeClr w14:val="tx1"/>
            </w14:solidFill>
          </w14:textFill>
        </w:rPr>
        <w:t> </w:t>
      </w: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第二章 开挖计划申报与许可</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6"/>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第四条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城市道路开挖实行申报审批管理制度。城市管理</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综合执法</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部门应当统筹协调城市道路新建、改建、扩建及养护维修计划与道路开挖计划同步进行。</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6"/>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开挖城市</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市政</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道路用于敷设地下管线及管网的，城市管理</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综合执法</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部门应当会同规划设计部门进行地下管线敷设的审批、登记及后期动态统一管理。</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第五条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鼓励采取非开挖技术施工（顶管作业），倡导科学合理的同管沟敷设。</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第六条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 因地下管线发生故障需紧急抢修的，开挖单位可先行开挖抢修，同时向城市管理主管部门报告，并在24小时内到行政审批部门补办手续。</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进行地下管线紧急抢修的，施工现场须设置明显标志和安全防护设施，完工后及时按原状（原材料）修复路面，保障行人和交通车辆安全。</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第七条</w:t>
      </w:r>
      <w:r>
        <w:rPr>
          <w:rFonts w:ascii="仿宋" w:hAnsi="仿宋" w:eastAsia="仿宋" w:cs="仿宋"/>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经批准并依法缴纳城市道路临时占用费</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和保证金</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方可挖掘</w:t>
      </w:r>
      <w:r>
        <w:rPr>
          <w:rFonts w:hint="eastAsia" w:ascii="仿宋" w:hAnsi="仿宋" w:eastAsia="仿宋" w:cs="仿宋"/>
          <w:i w:val="0"/>
          <w:caps w:val="0"/>
          <w:color w:val="000000" w:themeColor="text1"/>
          <w:spacing w:val="0"/>
          <w:sz w:val="32"/>
          <w:szCs w:val="32"/>
          <w:shd w:val="clear" w:fill="FFFFFF"/>
          <w14:textFill>
            <w14:solidFill>
              <w14:schemeClr w14:val="tx1"/>
            </w14:solidFill>
          </w14:textFill>
        </w:rPr>
        <w:t>。</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第八条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申请开挖城市道路的单位或者个人，必须提交下列材料：</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（一）开挖备案表；</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（二）申请单位营业执照、个人身份证等主体证明材料；</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（三）施工组织方案；</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（四）涉及城市规划调整的，提供</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有关</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部门的批准文件；需要限制车辆行驶的，提供公安交管部门的批准文件；以及其他有关职能部门依法批准的有效文件；</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（五）</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安全</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文明施工管理承诺书；</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（六）开挖场地位置（平面示意图</w:t>
      </w:r>
      <w:r>
        <w:rPr>
          <w:rFonts w:hint="eastAsia" w:ascii="仿宋_GB2312" w:hAnsi="Calibri" w:eastAsia="仿宋_GB2312" w:cs="仿宋_GB2312"/>
          <w:i w:val="0"/>
          <w:caps w:val="0"/>
          <w:color w:val="000000" w:themeColor="text1"/>
          <w:spacing w:val="0"/>
          <w:sz w:val="32"/>
          <w:szCs w:val="32"/>
          <w:shd w:val="clear" w:fill="FFFFFF"/>
          <w:lang w:eastAsia="zh-CN"/>
          <w14:textFill>
            <w14:solidFill>
              <w14:schemeClr w14:val="tx1"/>
            </w14:solidFill>
          </w14:textFill>
        </w:rPr>
        <w:t>、</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尺寸</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或照片标识开挖方位）。</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第九条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除特殊情况外，有下列情形之一的，不得开挖城市道路：</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（一）新建、改建、扩建的城市道路交付使用后未满5年、大修的城市道路竣工后未满3年的；</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（二）申请在“五一”国际劳动节、国庆节、春节、重大检查等重大公共活动期间挖掘的；</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（三）未提供有效文件或者提供资料不全的；</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（四）申请人曾违反城市道路挖掘管理有关规定，经查处仍未整改完毕或者未履行处罚决定的；</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（五）法律、法规和规章规定其他不得开挖城市道路的情形。</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5" w:lineRule="atLeast"/>
        <w:ind w:left="0" w:leftChars="0" w:right="0" w:rightChars="0" w:firstLine="0"/>
        <w:jc w:val="center"/>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第三章 城市道路开挖管理与修复</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第十条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城市道路开挖单位或者个人须执行施工技术规程和质量标准，保证工程质量。</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第十一条 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经许可开挖城市道路的，应当遵守下列规定：</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一）道路开挖单位或者个人应按照许可的位置、面积、期限开挖城市道路；因气候、地质条件等特殊原因需移动位置、延长开挖期限、扩大开挖面积的，申请人应当提前办理变更许可手续，并做好变更情况说明。</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（二）道路开挖单位或者个人应当</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以</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公示牌等形式公示开挖时限、施工面积、施工单位联系方式等相关信息，并加大宣传力度，争取社会和群众理解与支持。</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三）道路开挖单位或者个人施工现场必须设置标准围挡、交通导向标志、施工告示及路障警示灯；采取安全防护措施，保护临近地下管线设施安全。横断城市主、次干道开挖且不具备顶管施工条件的，必须在车流量少的时间段施工，需夜间施工的，必须设置夜间警示灯，并不得扰民。夜间不能完成施工的，必须做好管槽须回填，并采用符合安全要求的防滑钢板覆盖、增加减速条固定等措施，恢复道路交通。</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（四）道路开挖单位或者个人必须</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在</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施工现场安排专门清扫人员，配备洒水、冲洗等符合环保要求的管理措施。施工过程中洒水降尘，渣土随挖随清，出入工地车辆进行轮胎冲洗和覆盖运输。现场施工材料、裸露土层及基础养护使用毛毡、防尘网等覆盖。施工结束后，施工现场不得遗留渣土废料，保障文明施工，减少和降低工程施工对群众生产生活和城市环境秩序的影响。</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（五）基坑、沟槽等开挖后必须回填</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三合土并压实，同时根据施工方案要求和施工安全标准进行回填</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（六）埋在地下的材料必须采用符合要求的国标材料。</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（七）开挖余土污染路面，施工单位或者个人应根据城市管理主管部门的要求及时清理。</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（八）施工过程中做到现场整洁，施工完成后第一时间清场。</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第十二条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道路开挖单位或者个人负责沥青层敷设（车行道）、面层铺装（人行道）所有工程复原工作。道路开挖沟槽回填应当使用中粗沙并充足水沉，密实度要达到规范要求。在道路复原全部完成后，应立即向城市道路养护管理单位申请验收，验收由城市管理部门牵头组织，申请单位或者个人和挖掘施工单位共同参与，修复验收按 《市政道路工程质量检验评定标准》（CJJ 1-1990）等相应技术规范执行。</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第十三条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 道路开挖单位或者个人负责验收前的开挖现场安全和管理，建立健全安全管理制度，完善安全措施，确保施工现场的安全。</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第十四条 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交通繁忙的道路开挖工程应当实施分段开挖施工、分段恢复道路、分段质量验收。</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60" w:lineRule="atLeast"/>
        <w:ind w:left="0" w:leftChars="0" w:right="0" w:rightChars="0" w:firstLine="640"/>
        <w:jc w:val="both"/>
        <w:textAlignment w:val="auto"/>
        <w:rPr>
          <w:rFonts w:hint="default" w:ascii="Calibri" w:hAnsi="Calibri" w:cs="Calibri"/>
          <w:i w:val="0"/>
          <w:caps w:val="0"/>
          <w:color w:val="000000" w:themeColor="text1"/>
          <w:spacing w:val="0"/>
          <w:sz w:val="21"/>
          <w:szCs w:val="21"/>
          <w14:textFill>
            <w14:solidFill>
              <w14:schemeClr w14:val="tx1"/>
            </w14:solidFill>
          </w14:textFill>
        </w:rPr>
      </w:pPr>
      <w:r>
        <w:rPr>
          <w:rFonts w:hint="eastAsia" w:ascii="黑体" w:hAnsi="宋体" w:eastAsia="黑体" w:cs="黑体"/>
          <w:i w:val="0"/>
          <w:caps w:val="0"/>
          <w:color w:val="000000" w:themeColor="text1"/>
          <w:spacing w:val="0"/>
          <w:kern w:val="0"/>
          <w:sz w:val="32"/>
          <w:szCs w:val="32"/>
          <w:shd w:val="clear" w:fill="FFFFFF"/>
          <w:lang w:val="en-US" w:eastAsia="zh-CN" w:bidi="ar"/>
          <w14:textFill>
            <w14:solidFill>
              <w14:schemeClr w14:val="tx1"/>
            </w14:solidFill>
          </w14:textFill>
        </w:rPr>
        <w:t>第十五条 </w:t>
      </w:r>
      <w:r>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城市道路开挖单位或者个人，应当按照相关规定标准缴纳城市道路挖掘修复费用。</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第十六条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城市道路开挖修复单位或者个人必须严格执行城市道路养护、维修的技术规范，道路修复强度不应低于原设计结构：</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（一）开挖修复宽度：开挖的基层修复应在开挖断面两侧各加宽50cm；面层修复宽度每侧宽度应大于基层20cm以上。</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二）沥青路面：开挖宽度不足一个行车道的，除按标准修复管槽外，应对整条车行道进行罩面，超过一个行车道不足两个行车道的，按两个行车道面积罩面恢复。当顺向开挖宽度达到原路面1/3时，开挖修复按道路宽度半幅施工；开挖宽度达到原路面1/2以上时，应进行专项开挖修复设计，面层应为全幅修复。</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（三）水泥混凝土路面：当水泥混凝土路面开挖宽度超过1/3板宽时，应按整板修复；当不足1/3板宽时应进行加固处理。</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（四）人行道：砌块类面层的开挖修复，应将开挖施工期间被扰动的、破损的砌块全部拆除、重新铺砌。</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（五）绿化带：绿化带的开挖修复，必须按原状修复到位，种植的苗木及草皮必须保证成活（养护期一年），同时小苗木必须按原密实度恢复到位。</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第十七条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城市道路开挖修复应当按照下列时限完成路面修复：</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（一）主、次干道：横向开挖的，应当在沟槽回填后3日内修复；纵向开挖，面积在1000平方米以下的，应当在沟槽回填后5日内修复；面积在1000平方米以上的，应当在沟槽回填后7日内修复。</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（二）支路、街巷道路：应当在沟槽回填后2日内修复。</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第十八条</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 城市道路挖掘修复实行质保制度，设定质保期，质保期不得低于三个月，自修复验收完成之日起计算，质保期内按《建设工程质量管理条例》的有关规定执行。质保期内出现质量问题或者由于工程质量问题给他人造成损害的，由有关责任单位负责保修或者赔偿。</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5" w:lineRule="atLeast"/>
        <w:ind w:left="0" w:leftChars="0" w:right="0" w:rightChars="0" w:firstLine="0"/>
        <w:jc w:val="center"/>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第四章 监督管理与法律责任</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第十九条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城市管理部门应当对开挖、修复工程实行监督管理。在开工准备、沟槽开挖、回填验收及路面修复过程中，实行定期巡查，规范管理。</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第二十条 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经批准挖掘城市道路的单位或者个人，因施工损坏道路附属设施、地下管线设施的，应当承担赔偿责任。</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第二十一条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有下列行为之一的，由城市管理综合行政执法部门按照《</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宁夏回族自治区</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城市</w:t>
      </w:r>
      <w:r>
        <w:rPr>
          <w:rFonts w:hint="eastAsia" w:ascii="仿宋_GB2312" w:hAnsi="Calibri" w:eastAsia="仿宋_GB2312" w:cs="仿宋_GB2312"/>
          <w:i w:val="0"/>
          <w:caps w:val="0"/>
          <w:color w:val="000000" w:themeColor="text1"/>
          <w:spacing w:val="0"/>
          <w:sz w:val="32"/>
          <w:szCs w:val="32"/>
          <w:shd w:val="clear" w:fill="FFFFFF"/>
          <w:lang w:val="en-US" w:eastAsia="zh-CN"/>
          <w14:textFill>
            <w14:solidFill>
              <w14:schemeClr w14:val="tx1"/>
            </w14:solidFill>
          </w14:textFill>
        </w:rPr>
        <w:t>市容市貌</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管理条例》等相关法律、法规和规章予以行政处罚；造成损失的，应当依法承担赔偿责任：</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（一）擅自开挖、占用城市道路的；</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（二）开挖机械作业时，造成路面出现划痕、碎裂等损害城市道路的；</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（三）紧急抢修埋设在城市道路下的管线，不按照规定补办手续的；</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（四）施工现场未按照规定设置封闭围挡设施、公示牌、安全警示标志、采取防护措施的；</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（五）未按照批准的位置、面积、期限开挖道路，或者未提前办理变更手续的；</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（六）未按规范要求施工、回填和及时清理现场的，未采取防尘降噪措施的；</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（七）未按照标准要求恢复原状原质的。</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5" w:lineRule="atLeast"/>
        <w:ind w:left="0" w:leftChars="0" w:right="0" w:rightChars="0" w:firstLine="0"/>
        <w:jc w:val="center"/>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第五章 附则</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default" w:ascii="Calibri" w:hAnsi="Calibri" w:cs="Calibri"/>
          <w:i w:val="0"/>
          <w:caps w:val="0"/>
          <w:color w:val="000000" w:themeColor="text1"/>
          <w:spacing w:val="0"/>
          <w:sz w:val="24"/>
          <w:szCs w:val="24"/>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第二十</w:t>
      </w:r>
      <w:r>
        <w:rPr>
          <w:rFonts w:hint="eastAsia" w:ascii="黑体" w:hAnsi="宋体" w:eastAsia="黑体" w:cs="黑体"/>
          <w:i w:val="0"/>
          <w:caps w:val="0"/>
          <w:color w:val="000000" w:themeColor="text1"/>
          <w:spacing w:val="0"/>
          <w:sz w:val="32"/>
          <w:szCs w:val="32"/>
          <w:shd w:val="clear" w:fill="FFFFFF"/>
          <w:lang w:val="en-US" w:eastAsia="zh-CN"/>
          <w14:textFill>
            <w14:solidFill>
              <w14:schemeClr w14:val="tx1"/>
            </w14:solidFill>
          </w14:textFill>
        </w:rPr>
        <w:t>二</w:t>
      </w: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条</w:t>
      </w:r>
      <w:r>
        <w:rPr>
          <w:rFonts w:hint="eastAsia" w:ascii="宋体" w:hAnsi="宋体" w:eastAsia="宋体" w:cs="宋体"/>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城市道路开挖、修复施工涉及的技术和质量管理标准，本办法未做规定的，按照国家规定的城市道路养护维修和质量管理的规范标准执行。</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leftChars="0" w:right="0" w:rightChars="0" w:firstLine="645"/>
        <w:textAlignment w:val="auto"/>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pP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第二十</w:t>
      </w:r>
      <w:r>
        <w:rPr>
          <w:rFonts w:hint="eastAsia" w:ascii="黑体" w:hAnsi="宋体" w:eastAsia="黑体" w:cs="黑体"/>
          <w:i w:val="0"/>
          <w:caps w:val="0"/>
          <w:color w:val="000000" w:themeColor="text1"/>
          <w:spacing w:val="0"/>
          <w:sz w:val="32"/>
          <w:szCs w:val="32"/>
          <w:shd w:val="clear" w:fill="FFFFFF"/>
          <w:lang w:eastAsia="zh-CN"/>
          <w14:textFill>
            <w14:solidFill>
              <w14:schemeClr w14:val="tx1"/>
            </w14:solidFill>
          </w14:textFill>
        </w:rPr>
        <w:t>三</w:t>
      </w:r>
      <w:r>
        <w:rPr>
          <w:rFonts w:hint="eastAsia" w:ascii="黑体" w:hAnsi="宋体" w:eastAsia="黑体" w:cs="黑体"/>
          <w:i w:val="0"/>
          <w:caps w:val="0"/>
          <w:color w:val="000000" w:themeColor="text1"/>
          <w:spacing w:val="0"/>
          <w:sz w:val="32"/>
          <w:szCs w:val="32"/>
          <w:shd w:val="clear" w:fill="FFFFFF"/>
          <w14:textFill>
            <w14:solidFill>
              <w14:schemeClr w14:val="tx1"/>
            </w14:solidFill>
          </w14:textFill>
        </w:rPr>
        <w:t>条</w:t>
      </w:r>
      <w:r>
        <w:rPr>
          <w:rFonts w:hint="eastAsia" w:ascii="微软雅黑" w:hAnsi="微软雅黑" w:eastAsia="微软雅黑" w:cs="微软雅黑"/>
          <w:i w:val="0"/>
          <w:caps w:val="0"/>
          <w:color w:val="000000" w:themeColor="text1"/>
          <w:spacing w:val="0"/>
          <w:sz w:val="32"/>
          <w:szCs w:val="32"/>
          <w:shd w:val="clear" w:fill="FFFFFF"/>
          <w14:textFill>
            <w14:solidFill>
              <w14:schemeClr w14:val="tx1"/>
            </w14:solidFill>
          </w14:textFill>
        </w:rPr>
        <w:t>  </w:t>
      </w:r>
      <w:r>
        <w:rPr>
          <w:rFonts w:hint="eastAsia" w:ascii="仿宋_GB2312" w:hAnsi="Calibri" w:eastAsia="仿宋_GB2312" w:cs="仿宋_GB2312"/>
          <w:i w:val="0"/>
          <w:caps w:val="0"/>
          <w:color w:val="000000" w:themeColor="text1"/>
          <w:spacing w:val="0"/>
          <w:sz w:val="32"/>
          <w:szCs w:val="32"/>
          <w:shd w:val="clear" w:fill="FFFFFF"/>
          <w14:textFill>
            <w14:solidFill>
              <w14:schemeClr w14:val="tx1"/>
            </w14:solidFill>
          </w14:textFill>
        </w:rPr>
        <w:t>本办法自发布之日起施行</w:t>
      </w:r>
    </w:p>
    <w:p>
      <w:pPr>
        <w:keepNext w:val="0"/>
        <w:keepLines w:val="0"/>
        <w:pageBreakBefore w:val="0"/>
        <w:widowControl w:val="0"/>
        <w:kinsoku/>
        <w:wordWrap/>
        <w:overflowPunct/>
        <w:topLinePunct w:val="0"/>
        <w:autoSpaceDE/>
        <w:autoSpaceDN/>
        <w:bidi w:val="0"/>
        <w:adjustRightInd/>
        <w:snapToGrid/>
        <w:ind w:left="0" w:leftChars="0" w:right="0" w:rightChars="0" w:firstLine="643" w:firstLineChars="200"/>
        <w:jc w:val="both"/>
        <w:textAlignment w:val="auto"/>
        <w:rPr>
          <w:rFonts w:hint="eastAsia" w:ascii="仿宋_GB2312" w:hAnsi="Calibri" w:eastAsia="仿宋_GB2312" w:cs="仿宋_GB2312"/>
          <w:b/>
          <w:bCs/>
          <w:i w:val="0"/>
          <w:caps w:val="0"/>
          <w:color w:val="000000" w:themeColor="text1"/>
          <w:spacing w:val="0"/>
          <w:kern w:val="0"/>
          <w:sz w:val="32"/>
          <w:szCs w:val="32"/>
          <w:shd w:val="clear"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right="0" w:rightChars="0" w:firstLine="643" w:firstLineChars="200"/>
        <w:jc w:val="both"/>
        <w:textAlignment w:val="auto"/>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Calibri" w:eastAsia="仿宋_GB2312" w:cs="仿宋_GB2312"/>
          <w:b/>
          <w:bCs/>
          <w:i w:val="0"/>
          <w:caps w:val="0"/>
          <w:color w:val="000000" w:themeColor="text1"/>
          <w:spacing w:val="0"/>
          <w:kern w:val="0"/>
          <w:sz w:val="32"/>
          <w:szCs w:val="32"/>
          <w:shd w:val="clear" w:fill="FFFFFF"/>
          <w:lang w:val="en-US" w:eastAsia="zh-CN" w:bidi="ar"/>
          <w14:textFill>
            <w14:solidFill>
              <w14:schemeClr w14:val="tx1"/>
            </w14:solidFill>
          </w14:textFill>
        </w:rPr>
        <w:t>附件1：</w:t>
      </w:r>
      <w:r>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市政道路开挖安全文明施工管理承诺书</w:t>
      </w:r>
    </w:p>
    <w:p>
      <w:pPr>
        <w:keepNext w:val="0"/>
        <w:keepLines w:val="0"/>
        <w:pageBreakBefore w:val="0"/>
        <w:widowControl w:val="0"/>
        <w:kinsoku/>
        <w:wordWrap/>
        <w:overflowPunct/>
        <w:topLinePunct w:val="0"/>
        <w:autoSpaceDE/>
        <w:autoSpaceDN/>
        <w:bidi w:val="0"/>
        <w:adjustRightInd/>
        <w:snapToGrid/>
        <w:ind w:left="0" w:leftChars="0" w:right="0" w:rightChars="0" w:firstLine="643" w:firstLineChars="200"/>
        <w:jc w:val="both"/>
        <w:textAlignment w:val="auto"/>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Calibri" w:eastAsia="仿宋_GB2312" w:cs="仿宋_GB2312"/>
          <w:b/>
          <w:bCs/>
          <w:i w:val="0"/>
          <w:caps w:val="0"/>
          <w:color w:val="000000" w:themeColor="text1"/>
          <w:spacing w:val="0"/>
          <w:kern w:val="0"/>
          <w:sz w:val="32"/>
          <w:szCs w:val="32"/>
          <w:shd w:val="clear" w:fill="FFFFFF"/>
          <w:lang w:val="en-US" w:eastAsia="zh-CN" w:bidi="ar"/>
          <w14:textFill>
            <w14:solidFill>
              <w14:schemeClr w14:val="tx1"/>
            </w14:solidFill>
          </w14:textFill>
        </w:rPr>
        <w:t>附件2：</w:t>
      </w:r>
      <w:r>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海原县缴纳市政道路开挖保证金标准</w:t>
      </w:r>
    </w:p>
    <w:p>
      <w:pPr>
        <w:keepNext w:val="0"/>
        <w:keepLines w:val="0"/>
        <w:pageBreakBefore w:val="0"/>
        <w:widowControl w:val="0"/>
        <w:kinsoku/>
        <w:wordWrap/>
        <w:overflowPunct/>
        <w:topLinePunct w:val="0"/>
        <w:autoSpaceDE/>
        <w:autoSpaceDN/>
        <w:bidi w:val="0"/>
        <w:adjustRightInd/>
        <w:snapToGrid/>
        <w:ind w:left="0" w:leftChars="0" w:right="0" w:rightChars="0" w:firstLine="640" w:firstLineChars="200"/>
        <w:jc w:val="both"/>
        <w:textAlignment w:val="auto"/>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right="0" w:rightChars="0" w:firstLine="640" w:firstLineChars="200"/>
        <w:jc w:val="both"/>
        <w:textAlignment w:val="auto"/>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right="0" w:rightChars="0" w:firstLine="640" w:firstLineChars="200"/>
        <w:jc w:val="both"/>
        <w:textAlignment w:val="auto"/>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right="0" w:rightChars="0" w:firstLine="640" w:firstLineChars="200"/>
        <w:jc w:val="both"/>
        <w:textAlignment w:val="auto"/>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right="0" w:rightChars="0" w:firstLine="640" w:firstLineChars="200"/>
        <w:jc w:val="both"/>
        <w:textAlignment w:val="auto"/>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方正小标宋简体" w:hAnsi="方正小标宋简体" w:eastAsia="方正小标宋简体" w:cs="方正小标宋简体"/>
          <w:color w:val="000000" w:themeColor="text1"/>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right="0" w:rightChars="0"/>
        <w:jc w:val="left"/>
        <w:textAlignment w:val="auto"/>
        <w:rPr>
          <w:rFonts w:hint="eastAsia" w:ascii="仿宋_GB2312" w:hAnsi="Calibri" w:eastAsia="仿宋_GB2312" w:cs="仿宋_GB2312"/>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Calibri" w:eastAsia="仿宋_GB2312" w:cs="仿宋_GB2312"/>
          <w:b w:val="0"/>
          <w:bCs w:val="0"/>
          <w:i w:val="0"/>
          <w:caps w:val="0"/>
          <w:color w:val="000000" w:themeColor="text1"/>
          <w:spacing w:val="0"/>
          <w:kern w:val="0"/>
          <w:sz w:val="32"/>
          <w:szCs w:val="32"/>
          <w:shd w:val="clear" w:fill="FFFFFF"/>
          <w:lang w:val="en-US" w:eastAsia="zh-CN" w:bidi="ar"/>
          <w14:textFill>
            <w14:solidFill>
              <w14:schemeClr w14:val="tx1"/>
            </w14:solidFill>
          </w14:textFill>
        </w:rPr>
        <w:t>附件1</w:t>
      </w:r>
    </w:p>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方正小标宋_GBK" w:hAnsi="方正小标宋_GBK" w:eastAsia="方正小标宋_GBK" w:cs="方正小标宋_GBK"/>
          <w:color w:val="000000" w:themeColor="text1"/>
          <w:sz w:val="44"/>
          <w:szCs w:val="44"/>
          <w:lang w:val="en-US" w:eastAsia="zh-CN"/>
          <w14:textFill>
            <w14:solidFill>
              <w14:schemeClr w14:val="tx1"/>
            </w14:solidFill>
          </w14:textFill>
        </w:rPr>
      </w:pPr>
      <w:r>
        <w:rPr>
          <w:rFonts w:hint="eastAsia" w:ascii="方正小标宋_GBK" w:hAnsi="方正小标宋_GBK" w:eastAsia="方正小标宋_GBK" w:cs="方正小标宋_GBK"/>
          <w:color w:val="000000" w:themeColor="text1"/>
          <w:sz w:val="44"/>
          <w:szCs w:val="44"/>
          <w:lang w:val="en-US" w:eastAsia="zh-CN"/>
          <w14:textFill>
            <w14:solidFill>
              <w14:schemeClr w14:val="tx1"/>
            </w14:solidFill>
          </w14:textFill>
        </w:rPr>
        <w:t>市政道路开挖安全文明施工管理承诺书</w:t>
      </w:r>
    </w:p>
    <w:p>
      <w:pPr>
        <w:keepNext w:val="0"/>
        <w:keepLines w:val="0"/>
        <w:pageBreakBefore w:val="0"/>
        <w:widowControl w:val="0"/>
        <w:kinsoku/>
        <w:wordWrap/>
        <w:overflowPunct/>
        <w:topLinePunct w:val="0"/>
        <w:autoSpaceDE/>
        <w:autoSpaceDN/>
        <w:bidi w:val="0"/>
        <w:adjustRightInd/>
        <w:snapToGrid/>
        <w:ind w:left="0" w:leftChars="0" w:right="0" w:rightChars="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为确保城市市政道路占用挖掘文明施工和交通安全畅通，我单位承诺将严格按照《城市道路管理条例》（国务院令第198号）《宁夏回族自治区市容环境卫生管理条例》《海原县市政道路开挖管理办法》等规定及主管部门要求，做好施工现场管理，减少对城市市容市貌和交通安全畅通带来的负面影响，施工过程中保证按照国家、省、市和县的有关规定，并保证按照下列规定和要求执行：</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按照文明施工管理的有关规定，对施工范围采用标准的围蔽设施进行围蔽作业。围蔽区不得设置在办公场地、宿舍、停车场等非必要区域或设施，不得出现围而不施工现象。</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在施工现场悬挂城市市政道路临时占用标识，占用时间、负责人及联系方式等，并做好信息预告和宣传引导。</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三、施工现场符合环保规定，按规定做好处置施工余泥及施工污水，防止扬尘和噪音污染。</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四、在施工前必须查清施工区域的地下管线情况，与主要负责单位联系，采取有效措施保护地下管网。</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五、在施工现场的显著位置设置明显的交通导向标志、标线，夜间设置警示灯具，悬挂安全标识，如因作业需要，需临时堆放物料的，同时申请临时占用许可手续，经许可后方可堆放，并一律禁止直接在道路上搅拌水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六、严格按照批准的期限、而积和施工方案进行施工，合理配置人力机具，避免在交通高峰时段进行施工。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七、施工现场对车辆和行人影响较大的工程施工，做好交通疏导措施，并应专人协助公安交通管理部门疏导交通，保证道路通行和行人安全。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八、大型机械施工作业应安排在晚上10时前完成，并采取有效措施防止施工噪音和施工产生的粉尘。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九、严格按照海原县城市管理综合执法局的管理要求和国家规定的道路修复标准，及时修复挖路面。挖掘路面的，需整块面积修复，挖掘其他材料的路面，按挖掘实际面积修复。实施道路质量保修制度，保修期为一年，保修期内出现问题，第一时间予以整改、扣除押金并将修复和整改情况作为下次许可申请</w:t>
      </w:r>
      <w:bookmarkStart w:id="1" w:name="_GoBack"/>
      <w:bookmarkEnd w:id="1"/>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的重要参考。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十、开挖期间发生任何形式的纠纷和损害责任，由施工单位自行承担并协调解决。如有违反上述内容的，除迅速整改外，依法予以行政处罚。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施工单位（个人）：              联系电话：</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5120" w:firstLineChars="16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年   月   日</w:t>
      </w:r>
    </w:p>
    <w:p>
      <w:pPr>
        <w:keepNext w:val="0"/>
        <w:keepLines w:val="0"/>
        <w:pageBreakBefore w:val="0"/>
        <w:widowControl w:val="0"/>
        <w:kinsoku/>
        <w:wordWrap/>
        <w:overflowPunct/>
        <w:topLinePunct w:val="0"/>
        <w:autoSpaceDE/>
        <w:autoSpaceDN/>
        <w:bidi w:val="0"/>
        <w:adjustRightInd/>
        <w:snapToGrid/>
        <w:ind w:left="0" w:leftChars="0" w:right="0" w:rightChars="0" w:firstLine="640" w:firstLineChars="200"/>
        <w:jc w:val="both"/>
        <w:textAlignment w:val="auto"/>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right="0" w:rightChars="0"/>
        <w:jc w:val="left"/>
        <w:textAlignment w:val="auto"/>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Calibri" w:eastAsia="仿宋_GB2312" w:cs="仿宋_GB2312"/>
          <w:b w:val="0"/>
          <w:bCs w:val="0"/>
          <w:i w:val="0"/>
          <w:caps w:val="0"/>
          <w:color w:val="000000" w:themeColor="text1"/>
          <w:spacing w:val="0"/>
          <w:kern w:val="0"/>
          <w:sz w:val="32"/>
          <w:szCs w:val="32"/>
          <w:shd w:val="clear" w:fill="FFFFFF"/>
          <w:lang w:val="en-US" w:eastAsia="zh-CN" w:bidi="ar"/>
          <w14:textFill>
            <w14:solidFill>
              <w14:schemeClr w14:val="tx1"/>
            </w14:solidFill>
          </w14:textFill>
        </w:rPr>
        <w:t>附件2</w:t>
      </w:r>
    </w:p>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方正小标宋_GBK" w:hAnsi="方正小标宋_GBK" w:eastAsia="方正小标宋_GBK" w:cs="方正小标宋_GBK"/>
          <w:color w:val="000000" w:themeColor="text1"/>
          <w:sz w:val="44"/>
          <w:szCs w:val="44"/>
          <w:lang w:val="en-US" w:eastAsia="zh-CN"/>
          <w14:textFill>
            <w14:solidFill>
              <w14:schemeClr w14:val="tx1"/>
            </w14:solidFill>
          </w14:textFill>
        </w:rPr>
      </w:pPr>
      <w:r>
        <w:rPr>
          <w:rFonts w:hint="eastAsia" w:ascii="方正小标宋_GBK" w:hAnsi="方正小标宋_GBK" w:eastAsia="方正小标宋_GBK" w:cs="方正小标宋_GBK"/>
          <w:color w:val="000000" w:themeColor="text1"/>
          <w:sz w:val="44"/>
          <w:szCs w:val="44"/>
          <w:lang w:val="en-US" w:eastAsia="zh-CN"/>
          <w14:textFill>
            <w14:solidFill>
              <w14:schemeClr w14:val="tx1"/>
            </w14:solidFill>
          </w14:textFill>
        </w:rPr>
        <w:t>海原县缴纳市政道路开挖保证金标准</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15" w:lineRule="atLeast"/>
        <w:ind w:left="0" w:leftChars="0" w:right="0" w:rightChars="0" w:firstLine="640" w:firstLineChars="200"/>
        <w:jc w:val="both"/>
        <w:textAlignment w:val="auto"/>
        <w:rPr>
          <w:rFonts w:ascii="微软雅黑" w:hAnsi="微软雅黑" w:eastAsia="微软雅黑" w:cs="微软雅黑"/>
          <w:i w:val="0"/>
          <w:caps w:val="0"/>
          <w:color w:val="000000" w:themeColor="text1"/>
          <w:spacing w:val="0"/>
          <w:sz w:val="24"/>
          <w:szCs w:val="24"/>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为加强城市</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市政</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道路</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开挖</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管理，根据《城市道路管理条例》（国务院令第198号）和国家建设部、财政部、物价局印发的《城市道路占用挖掘收费管理办法》（建城字[1993]410号）规定和要求，</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现结合我县实际情况，制定本标准：</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15" w:lineRule="atLeast"/>
        <w:ind w:left="0" w:leftChars="0" w:right="0" w:rightChars="0" w:firstLine="640" w:firstLineChars="200"/>
        <w:jc w:val="both"/>
        <w:textAlignment w:val="auto"/>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1</w:t>
      </w:r>
      <w:r>
        <w:rPr>
          <w:rFonts w:hint="eastAsia" w:ascii="仿宋_GB2312" w:hAnsi="仿宋_GB2312" w:eastAsia="仿宋_GB2312" w:cs="仿宋_GB2312"/>
          <w:i w:val="0"/>
          <w:caps w:val="0"/>
          <w:color w:val="000000" w:themeColor="text1"/>
          <w:spacing w:val="0"/>
          <w:sz w:val="32"/>
          <w:szCs w:val="32"/>
          <w:shd w:val="clear" w:fill="FFFFFF"/>
          <w:lang w:eastAsia="zh-CN"/>
          <w14:textFill>
            <w14:solidFill>
              <w14:schemeClr w14:val="tx1"/>
            </w14:solidFill>
          </w14:textFill>
        </w:rPr>
        <w:t>、</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新建道路：凡需</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开挖</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新建、改建、扩建后交付使用未满5年或者大修竣工后未满3年的城市道路，经许可后，</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保证金</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在收费标准基础上加倍收取。具体为：一年内收取3倍、两年内收取2.5倍、三年内收取2倍、四年内收取1.5倍、五年内收取1.2倍。 </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15" w:lineRule="atLeast"/>
        <w:ind w:left="0" w:leftChars="0" w:right="0" w:rightChars="0" w:firstLine="640" w:firstLineChars="200"/>
        <w:jc w:val="both"/>
        <w:textAlignment w:val="auto"/>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2、</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违章</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开挖</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经海原县城市管理综合执法局</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发现</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施工方</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违章（或超出批准面积部分）开挖，以及人为损坏市政设施的，按本标准的</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2</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倍加收</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市政道路开挖保证金</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，并赔偿相应损失。</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15" w:lineRule="atLeast"/>
        <w:ind w:left="0" w:leftChars="0" w:right="0" w:rightChars="0" w:firstLine="640" w:firstLineChars="200"/>
        <w:jc w:val="both"/>
        <w:textAlignment w:val="auto"/>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3、海原县市政道路开挖保证金费收费标准。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both"/>
        <w:textAlignment w:val="auto"/>
        <w:outlineLvl w:val="9"/>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15" w:lineRule="atLeast"/>
        <w:ind w:left="0" w:leftChars="0" w:right="0" w:rightChars="0"/>
        <w:jc w:val="center"/>
        <w:textAlignment w:val="auto"/>
        <w:rPr>
          <w:rFonts w:hint="eastAsia" w:ascii="方正小标宋_GBK" w:hAnsi="方正小标宋_GBK" w:eastAsia="方正小标宋_GBK" w:cs="方正小标宋_GBK"/>
          <w:i w:val="0"/>
          <w:caps w:val="0"/>
          <w:color w:val="000000" w:themeColor="text1"/>
          <w:spacing w:val="0"/>
          <w:sz w:val="44"/>
          <w:szCs w:val="44"/>
          <w:shd w:val="clear" w:fill="FFFFFF"/>
          <w:lang w:val="en-US" w:eastAsia="zh-CN"/>
          <w14:textFill>
            <w14:solidFill>
              <w14:schemeClr w14:val="tx1"/>
            </w14:solidFill>
          </w14:textFill>
        </w:rPr>
      </w:pPr>
      <w:r>
        <w:rPr>
          <w:rFonts w:hint="eastAsia" w:ascii="方正小标宋_GBK" w:hAnsi="方正小标宋_GBK" w:eastAsia="方正小标宋_GBK" w:cs="方正小标宋_GBK"/>
          <w:i w:val="0"/>
          <w:caps w:val="0"/>
          <w:color w:val="000000" w:themeColor="text1"/>
          <w:spacing w:val="0"/>
          <w:sz w:val="44"/>
          <w:szCs w:val="44"/>
          <w:shd w:val="clear" w:fill="FFFFFF"/>
          <w:lang w:val="en-US" w:eastAsia="zh-CN"/>
          <w14:textFill>
            <w14:solidFill>
              <w14:schemeClr w14:val="tx1"/>
            </w14:solidFill>
          </w14:textFill>
        </w:rPr>
        <w:t>海原县市政道路开挖保证金费收费标准</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15" w:lineRule="atLeast"/>
        <w:ind w:left="0" w:leftChars="0" w:right="0" w:rightChars="0"/>
        <w:jc w:val="center"/>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tbl>
      <w:tblPr>
        <w:tblStyle w:val="4"/>
        <w:tblW w:w="9163" w:type="dxa"/>
        <w:tblInd w:w="0" w:type="dxa"/>
        <w:tblLayout w:type="fixed"/>
        <w:tblCellMar>
          <w:top w:w="15" w:type="dxa"/>
          <w:left w:w="15" w:type="dxa"/>
          <w:bottom w:w="15" w:type="dxa"/>
          <w:right w:w="15" w:type="dxa"/>
        </w:tblCellMar>
      </w:tblPr>
      <w:tblGrid>
        <w:gridCol w:w="1185"/>
        <w:gridCol w:w="4042"/>
        <w:gridCol w:w="3936"/>
      </w:tblGrid>
      <w:tr>
        <w:tblPrEx>
          <w:tblCellMar>
            <w:top w:w="15" w:type="dxa"/>
            <w:left w:w="15" w:type="dxa"/>
            <w:bottom w:w="15" w:type="dxa"/>
            <w:right w:w="15" w:type="dxa"/>
          </w:tblCellMar>
        </w:tblPrEx>
        <w:trPr>
          <w:trHeight w:val="1080" w:hRule="atLeast"/>
        </w:trPr>
        <w:tc>
          <w:tcPr>
            <w:tcW w:w="1185" w:type="dxa"/>
            <w:tcBorders>
              <w:top w:val="single" w:color="000000" w:sz="6" w:space="0"/>
              <w:left w:val="single" w:color="000000" w:sz="6" w:space="0"/>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序号</w:t>
            </w:r>
          </w:p>
        </w:tc>
        <w:tc>
          <w:tcPr>
            <w:tcW w:w="4042"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道路类型</w:t>
            </w:r>
          </w:p>
        </w:tc>
        <w:tc>
          <w:tcPr>
            <w:tcW w:w="3936" w:type="dxa"/>
            <w:tcBorders>
              <w:top w:val="single" w:color="000000" w:sz="6" w:space="0"/>
              <w:left w:val="nil"/>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收费标准</w:t>
            </w:r>
          </w:p>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（元/平方米）</w:t>
            </w:r>
          </w:p>
        </w:tc>
      </w:tr>
      <w:tr>
        <w:tblPrEx>
          <w:tblCellMar>
            <w:top w:w="15" w:type="dxa"/>
            <w:left w:w="15" w:type="dxa"/>
            <w:bottom w:w="15" w:type="dxa"/>
            <w:right w:w="15" w:type="dxa"/>
          </w:tblCellMar>
        </w:tblPrEx>
        <w:trPr>
          <w:trHeight w:val="765" w:hRule="atLeast"/>
        </w:trPr>
        <w:tc>
          <w:tcPr>
            <w:tcW w:w="1185"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bookmarkStart w:id="0" w:name="OLE_LINK1" w:colFirst="2" w:colLast="2"/>
            <w:r>
              <w:rPr>
                <w:rFonts w:hint="eastAsia" w:ascii="仿宋" w:hAnsi="仿宋" w:eastAsia="仿宋" w:cs="仿宋"/>
                <w:color w:val="000000" w:themeColor="text1"/>
                <w:sz w:val="30"/>
                <w:szCs w:val="30"/>
                <w14:textFill>
                  <w14:solidFill>
                    <w14:schemeClr w14:val="tx1"/>
                  </w14:solidFill>
                </w14:textFill>
              </w:rPr>
              <w:t>1</w:t>
            </w:r>
          </w:p>
        </w:tc>
        <w:tc>
          <w:tcPr>
            <w:tcW w:w="4042" w:type="dxa"/>
            <w:tcBorders>
              <w:top w:val="nil"/>
              <w:left w:val="nil"/>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主次干路沥青路面</w:t>
            </w:r>
          </w:p>
        </w:tc>
        <w:tc>
          <w:tcPr>
            <w:tcW w:w="3936" w:type="dxa"/>
            <w:tcBorders>
              <w:top w:val="nil"/>
              <w:left w:val="nil"/>
              <w:bottom w:val="single" w:color="000000" w:sz="6" w:space="0"/>
              <w:right w:val="single" w:color="000000" w:sz="6" w:space="0"/>
            </w:tcBorders>
            <w:tcMar>
              <w:top w:w="0" w:type="dxa"/>
              <w:left w:w="105" w:type="dxa"/>
              <w:bottom w:w="0" w:type="dxa"/>
              <w:right w:w="105" w:type="dxa"/>
            </w:tcMar>
            <w:vAlign w:val="bottom"/>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500</w:t>
            </w:r>
          </w:p>
        </w:tc>
      </w:tr>
      <w:tr>
        <w:tblPrEx>
          <w:tblCellMar>
            <w:top w:w="15" w:type="dxa"/>
            <w:left w:w="15" w:type="dxa"/>
            <w:bottom w:w="15" w:type="dxa"/>
            <w:right w:w="15" w:type="dxa"/>
          </w:tblCellMar>
        </w:tblPrEx>
        <w:trPr>
          <w:trHeight w:val="765" w:hRule="atLeast"/>
        </w:trPr>
        <w:tc>
          <w:tcPr>
            <w:tcW w:w="1185"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2</w:t>
            </w:r>
          </w:p>
        </w:tc>
        <w:tc>
          <w:tcPr>
            <w:tcW w:w="4042" w:type="dxa"/>
            <w:tcBorders>
              <w:top w:val="nil"/>
              <w:left w:val="nil"/>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支路与非机动车道沥青路面</w:t>
            </w:r>
          </w:p>
        </w:tc>
        <w:tc>
          <w:tcPr>
            <w:tcW w:w="3936" w:type="dxa"/>
            <w:tcBorders>
              <w:top w:val="nil"/>
              <w:left w:val="nil"/>
              <w:bottom w:val="single" w:color="000000" w:sz="6" w:space="0"/>
              <w:right w:val="single" w:color="000000" w:sz="6" w:space="0"/>
            </w:tcBorders>
            <w:tcMar>
              <w:top w:w="0" w:type="dxa"/>
              <w:left w:w="105" w:type="dxa"/>
              <w:bottom w:w="0" w:type="dxa"/>
              <w:right w:w="105" w:type="dxa"/>
            </w:tcMar>
            <w:vAlign w:val="bottom"/>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400</w:t>
            </w:r>
          </w:p>
        </w:tc>
      </w:tr>
      <w:tr>
        <w:tblPrEx>
          <w:tblCellMar>
            <w:top w:w="15" w:type="dxa"/>
            <w:left w:w="15" w:type="dxa"/>
            <w:bottom w:w="15" w:type="dxa"/>
            <w:right w:w="15" w:type="dxa"/>
          </w:tblCellMar>
        </w:tblPrEx>
        <w:trPr>
          <w:trHeight w:val="765" w:hRule="atLeast"/>
        </w:trPr>
        <w:tc>
          <w:tcPr>
            <w:tcW w:w="1185"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3</w:t>
            </w:r>
          </w:p>
        </w:tc>
        <w:tc>
          <w:tcPr>
            <w:tcW w:w="4042" w:type="dxa"/>
            <w:tcBorders>
              <w:top w:val="nil"/>
              <w:left w:val="nil"/>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条（料）石路面</w:t>
            </w:r>
          </w:p>
        </w:tc>
        <w:tc>
          <w:tcPr>
            <w:tcW w:w="3936" w:type="dxa"/>
            <w:tcBorders>
              <w:top w:val="nil"/>
              <w:left w:val="nil"/>
              <w:bottom w:val="single" w:color="000000" w:sz="6" w:space="0"/>
              <w:right w:val="single" w:color="000000" w:sz="6" w:space="0"/>
            </w:tcBorders>
            <w:tcMar>
              <w:top w:w="0" w:type="dxa"/>
              <w:left w:w="105" w:type="dxa"/>
              <w:bottom w:w="0" w:type="dxa"/>
              <w:right w:w="105" w:type="dxa"/>
            </w:tcMar>
            <w:vAlign w:val="bottom"/>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450</w:t>
            </w:r>
          </w:p>
        </w:tc>
      </w:tr>
      <w:tr>
        <w:tblPrEx>
          <w:tblCellMar>
            <w:top w:w="15" w:type="dxa"/>
            <w:left w:w="15" w:type="dxa"/>
            <w:bottom w:w="15" w:type="dxa"/>
            <w:right w:w="15" w:type="dxa"/>
          </w:tblCellMar>
        </w:tblPrEx>
        <w:trPr>
          <w:trHeight w:val="765" w:hRule="atLeast"/>
        </w:trPr>
        <w:tc>
          <w:tcPr>
            <w:tcW w:w="1185"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4</w:t>
            </w:r>
          </w:p>
        </w:tc>
        <w:tc>
          <w:tcPr>
            <w:tcW w:w="4042" w:type="dxa"/>
            <w:tcBorders>
              <w:top w:val="nil"/>
              <w:left w:val="nil"/>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彩色沥青路面</w:t>
            </w:r>
          </w:p>
        </w:tc>
        <w:tc>
          <w:tcPr>
            <w:tcW w:w="3936" w:type="dxa"/>
            <w:tcBorders>
              <w:top w:val="nil"/>
              <w:left w:val="nil"/>
              <w:bottom w:val="single" w:color="000000" w:sz="6" w:space="0"/>
              <w:right w:val="single" w:color="000000" w:sz="6" w:space="0"/>
            </w:tcBorders>
            <w:tcMar>
              <w:top w:w="0" w:type="dxa"/>
              <w:left w:w="105" w:type="dxa"/>
              <w:bottom w:w="0" w:type="dxa"/>
              <w:right w:w="105" w:type="dxa"/>
            </w:tcMar>
            <w:vAlign w:val="bottom"/>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520</w:t>
            </w:r>
          </w:p>
        </w:tc>
      </w:tr>
      <w:tr>
        <w:tblPrEx>
          <w:tblCellMar>
            <w:top w:w="15" w:type="dxa"/>
            <w:left w:w="15" w:type="dxa"/>
            <w:bottom w:w="15" w:type="dxa"/>
            <w:right w:w="15" w:type="dxa"/>
          </w:tblCellMar>
        </w:tblPrEx>
        <w:trPr>
          <w:trHeight w:val="780" w:hRule="atLeast"/>
        </w:trPr>
        <w:tc>
          <w:tcPr>
            <w:tcW w:w="1185"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5</w:t>
            </w:r>
          </w:p>
        </w:tc>
        <w:tc>
          <w:tcPr>
            <w:tcW w:w="4042" w:type="dxa"/>
            <w:tcBorders>
              <w:top w:val="nil"/>
              <w:left w:val="nil"/>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水泥混凝土路面</w:t>
            </w:r>
          </w:p>
        </w:tc>
        <w:tc>
          <w:tcPr>
            <w:tcW w:w="3936" w:type="dxa"/>
            <w:tcBorders>
              <w:top w:val="nil"/>
              <w:left w:val="nil"/>
              <w:bottom w:val="single" w:color="000000" w:sz="6" w:space="0"/>
              <w:right w:val="single" w:color="000000" w:sz="6" w:space="0"/>
            </w:tcBorders>
            <w:tcMar>
              <w:top w:w="0" w:type="dxa"/>
              <w:left w:w="105" w:type="dxa"/>
              <w:bottom w:w="0" w:type="dxa"/>
              <w:right w:w="105" w:type="dxa"/>
            </w:tcMar>
            <w:vAlign w:val="bottom"/>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450</w:t>
            </w:r>
          </w:p>
        </w:tc>
      </w:tr>
      <w:tr>
        <w:tblPrEx>
          <w:tblCellMar>
            <w:top w:w="15" w:type="dxa"/>
            <w:left w:w="15" w:type="dxa"/>
            <w:bottom w:w="15" w:type="dxa"/>
            <w:right w:w="15" w:type="dxa"/>
          </w:tblCellMar>
        </w:tblPrEx>
        <w:trPr>
          <w:trHeight w:val="765" w:hRule="atLeast"/>
        </w:trPr>
        <w:tc>
          <w:tcPr>
            <w:tcW w:w="1185"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6</w:t>
            </w:r>
          </w:p>
        </w:tc>
        <w:tc>
          <w:tcPr>
            <w:tcW w:w="4042" w:type="dxa"/>
            <w:tcBorders>
              <w:top w:val="nil"/>
              <w:left w:val="nil"/>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彩色方砖</w:t>
            </w:r>
          </w:p>
        </w:tc>
        <w:tc>
          <w:tcPr>
            <w:tcW w:w="3936" w:type="dxa"/>
            <w:tcBorders>
              <w:top w:val="nil"/>
              <w:left w:val="nil"/>
              <w:bottom w:val="single" w:color="000000" w:sz="6" w:space="0"/>
              <w:right w:val="single" w:color="000000" w:sz="6" w:space="0"/>
            </w:tcBorders>
            <w:tcMar>
              <w:top w:w="0" w:type="dxa"/>
              <w:left w:w="105" w:type="dxa"/>
              <w:bottom w:w="0" w:type="dxa"/>
              <w:right w:w="105" w:type="dxa"/>
            </w:tcMar>
            <w:vAlign w:val="bottom"/>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215</w:t>
            </w:r>
          </w:p>
        </w:tc>
      </w:tr>
      <w:tr>
        <w:tblPrEx>
          <w:tblCellMar>
            <w:top w:w="15" w:type="dxa"/>
            <w:left w:w="15" w:type="dxa"/>
            <w:bottom w:w="15" w:type="dxa"/>
            <w:right w:w="15" w:type="dxa"/>
          </w:tblCellMar>
        </w:tblPrEx>
        <w:trPr>
          <w:trHeight w:val="765" w:hRule="atLeast"/>
        </w:trPr>
        <w:tc>
          <w:tcPr>
            <w:tcW w:w="1185"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7</w:t>
            </w:r>
          </w:p>
        </w:tc>
        <w:tc>
          <w:tcPr>
            <w:tcW w:w="4042" w:type="dxa"/>
            <w:tcBorders>
              <w:top w:val="nil"/>
              <w:left w:val="nil"/>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人行步道方砖</w:t>
            </w:r>
          </w:p>
        </w:tc>
        <w:tc>
          <w:tcPr>
            <w:tcW w:w="3936" w:type="dxa"/>
            <w:tcBorders>
              <w:top w:val="nil"/>
              <w:left w:val="nil"/>
              <w:bottom w:val="single" w:color="000000" w:sz="6" w:space="0"/>
              <w:right w:val="single" w:color="000000" w:sz="6" w:space="0"/>
            </w:tcBorders>
            <w:tcMar>
              <w:top w:w="0" w:type="dxa"/>
              <w:left w:w="105" w:type="dxa"/>
              <w:bottom w:w="0" w:type="dxa"/>
              <w:right w:w="105" w:type="dxa"/>
            </w:tcMar>
            <w:vAlign w:val="bottom"/>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200</w:t>
            </w:r>
          </w:p>
        </w:tc>
      </w:tr>
      <w:tr>
        <w:tblPrEx>
          <w:tblCellMar>
            <w:top w:w="15" w:type="dxa"/>
            <w:left w:w="15" w:type="dxa"/>
            <w:bottom w:w="15" w:type="dxa"/>
            <w:right w:w="15" w:type="dxa"/>
          </w:tblCellMar>
        </w:tblPrEx>
        <w:trPr>
          <w:trHeight w:val="750" w:hRule="atLeast"/>
        </w:trPr>
        <w:tc>
          <w:tcPr>
            <w:tcW w:w="1185" w:type="dxa"/>
            <w:tcBorders>
              <w:top w:val="nil"/>
              <w:left w:val="single" w:color="000000" w:sz="6" w:space="0"/>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8</w:t>
            </w:r>
          </w:p>
        </w:tc>
        <w:tc>
          <w:tcPr>
            <w:tcW w:w="4042" w:type="dxa"/>
            <w:tcBorders>
              <w:top w:val="nil"/>
              <w:left w:val="nil"/>
              <w:bottom w:val="single" w:color="000000" w:sz="6" w:space="0"/>
              <w:right w:val="single" w:color="000000" w:sz="6" w:space="0"/>
            </w:tcBorders>
            <w:tcMar>
              <w:top w:w="0" w:type="dxa"/>
              <w:left w:w="105" w:type="dxa"/>
              <w:bottom w:w="0" w:type="dxa"/>
              <w:right w:w="105" w:type="dxa"/>
            </w:tcMar>
            <w:vAlign w:val="center"/>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砂石路面</w:t>
            </w:r>
          </w:p>
        </w:tc>
        <w:tc>
          <w:tcPr>
            <w:tcW w:w="3936" w:type="dxa"/>
            <w:tcBorders>
              <w:top w:val="nil"/>
              <w:left w:val="nil"/>
              <w:bottom w:val="single" w:color="000000" w:sz="6" w:space="0"/>
              <w:right w:val="single" w:color="000000" w:sz="6" w:space="0"/>
            </w:tcBorders>
            <w:tcMar>
              <w:top w:w="0" w:type="dxa"/>
              <w:left w:w="105" w:type="dxa"/>
              <w:bottom w:w="0" w:type="dxa"/>
              <w:right w:w="105" w:type="dxa"/>
            </w:tcMar>
            <w:vAlign w:val="bottom"/>
          </w:tcPr>
          <w:p>
            <w:pPr>
              <w:pStyle w:val="3"/>
              <w:keepNext w:val="0"/>
              <w:keepLines w:val="0"/>
              <w:pageBreakBefore w:val="0"/>
              <w:widowControl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ascii="仿宋" w:hAnsi="仿宋" w:eastAsia="仿宋" w:cs="仿宋"/>
                <w:color w:val="000000" w:themeColor="text1"/>
                <w:sz w:val="30"/>
                <w:szCs w:val="30"/>
                <w14:textFill>
                  <w14:solidFill>
                    <w14:schemeClr w14:val="tx1"/>
                  </w14:solidFill>
                </w14:textFill>
              </w:rPr>
            </w:pPr>
            <w:r>
              <w:rPr>
                <w:rFonts w:hint="eastAsia" w:ascii="仿宋" w:hAnsi="仿宋" w:eastAsia="仿宋" w:cs="仿宋"/>
                <w:color w:val="000000" w:themeColor="text1"/>
                <w:sz w:val="30"/>
                <w:szCs w:val="30"/>
                <w14:textFill>
                  <w14:solidFill>
                    <w14:schemeClr w14:val="tx1"/>
                  </w14:solidFill>
                </w14:textFill>
              </w:rPr>
              <w:t>90</w:t>
            </w:r>
          </w:p>
        </w:tc>
      </w:tr>
      <w:bookmarkEnd w:id="0"/>
    </w:tbl>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both"/>
        <w:textAlignment w:val="auto"/>
        <w:outlineLvl w:val="9"/>
        <w:rPr>
          <w:rFonts w:hint="eastAsia" w:ascii="仿宋_GB2312" w:hAnsi="仿宋_GB2312"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注：1.收费面积以实际挖掘面积为准。</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缘石、侧石按实际价格收费。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_GB2312" w:hAnsi="仿宋_GB2312"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3.表中未列入的其它材质人行道按实际价格收费。</w:t>
      </w:r>
    </w:p>
    <w:p>
      <w:pPr>
        <w:keepNext w:val="0"/>
        <w:keepLines w:val="0"/>
        <w:pageBreakBefore w:val="0"/>
        <w:widowControl w:val="0"/>
        <w:kinsoku/>
        <w:wordWrap/>
        <w:overflowPunct/>
        <w:topLinePunct w:val="0"/>
        <w:autoSpaceDE/>
        <w:autoSpaceDN/>
        <w:bidi w:val="0"/>
        <w:adjustRightInd/>
        <w:snapToGrid/>
        <w:ind w:left="0" w:leftChars="0" w:right="0" w:rightChars="0" w:firstLine="640" w:firstLineChars="200"/>
        <w:jc w:val="both"/>
        <w:textAlignment w:val="auto"/>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right="0" w:rightChars="0" w:firstLine="640" w:firstLineChars="200"/>
        <w:jc w:val="both"/>
        <w:textAlignment w:val="auto"/>
        <w:rPr>
          <w:rFonts w:hint="eastAsia" w:ascii="仿宋_GB2312" w:hAnsi="Calibri"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right="0" w:rightChars="0"/>
        <w:textAlignment w:val="auto"/>
        <w:rPr>
          <w:color w:val="000000" w:themeColor="text1"/>
          <w14:textFill>
            <w14:solidFill>
              <w14:schemeClr w14:val="tx1"/>
            </w14:solidFill>
          </w14:textFill>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微软雅黑">
    <w:altName w:val="黑体"/>
    <w:panose1 w:val="020B0503020204020204"/>
    <w:charset w:val="86"/>
    <w:family w:val="auto"/>
    <w:pitch w:val="default"/>
    <w:sig w:usb0="00000000" w:usb1="00000000" w:usb2="00000016" w:usb3="00000000" w:csb0="0004001F" w:csb1="00000000"/>
  </w:font>
  <w:font w:name="仿宋">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DejaVu Math TeX Gyre">
    <w:panose1 w:val="02000503000000000000"/>
    <w:charset w:val="00"/>
    <w:family w:val="auto"/>
    <w:pitch w:val="default"/>
    <w:sig w:usb0="A10000EF" w:usb1="4201F9EE" w:usb2="02000000" w:usb3="00000000" w:csb0="60000193" w:csb1="0DD40000"/>
  </w:font>
  <w:font w:name="方正宋体S-超大字符集">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5361788"/>
    <w:multiLevelType w:val="singleLevel"/>
    <w:tmpl w:val="65361788"/>
    <w:lvl w:ilvl="0" w:tentative="0">
      <w:start w:val="1"/>
      <w:numFmt w:val="chineseCounting"/>
      <w:suff w:val="nothing"/>
      <w:lvlText w:val="%1、"/>
      <w:lvlJc w:val="left"/>
    </w:lvl>
  </w:abstractNum>
  <w:abstractNum w:abstractNumId="1">
    <w:nsid w:val="657A62B2"/>
    <w:multiLevelType w:val="singleLevel"/>
    <w:tmpl w:val="657A62B2"/>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236C77"/>
    <w:rsid w:val="08E420E3"/>
    <w:rsid w:val="19980B0D"/>
    <w:rsid w:val="3B93BCFC"/>
    <w:rsid w:val="3BA86A07"/>
    <w:rsid w:val="3BB21E06"/>
    <w:rsid w:val="72585D50"/>
    <w:rsid w:val="73072ED0"/>
    <w:rsid w:val="7AA744F4"/>
    <w:rsid w:val="7C236C77"/>
    <w:rsid w:val="EFEE9A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toc 1"/>
    <w:next w:val="1"/>
    <w:qFormat/>
    <w:uiPriority w:val="0"/>
    <w:pPr>
      <w:widowControl w:val="0"/>
      <w:snapToGrid w:val="0"/>
      <w:spacing w:line="640" w:lineRule="exact"/>
      <w:ind w:firstLine="705"/>
      <w:jc w:val="both"/>
    </w:pPr>
    <w:rPr>
      <w:rFonts w:ascii="仿宋_GB2312" w:hAnsi="宋体" w:eastAsia="仿宋_GB2312" w:cs="Times New Roman"/>
      <w:color w:val="000000"/>
      <w:kern w:val="2"/>
      <w:sz w:val="36"/>
      <w:szCs w:val="36"/>
      <w:lang w:val="en-US" w:eastAsia="zh-CN" w:bidi="ar-SA"/>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Office_11.8.2.9864_F1E327BC-269C-435d-A152-05C5408002CA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2023-10-07T19:00:00Z</dcterms:created>
  <dc:creator>Administrator</dc:creator>
  <cp:lastModifiedBy>kylin</cp:lastModifiedBy>
  <cp:lastPrinted>2023-10-24T01:56:00Z</cp:lastPrinted>
  <dcterms:modified xsi:type="dcterms:W3CDTF">2024-03-28T09:57:53Z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2052-11.8.2.9864</vt:lpwstr>
  </property>
</Properties>
</file>