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53AC7">
      <w:pPr>
        <w:keepNext w:val="0"/>
        <w:keepLines w:val="0"/>
        <w:pageBreakBefore w:val="0"/>
        <w:widowControl w:val="0"/>
        <w:kinsoku/>
        <w:wordWrap/>
        <w:overflowPunct/>
        <w:topLinePunct w:val="0"/>
        <w:autoSpaceDE/>
        <w:autoSpaceDN/>
        <w:bidi w:val="0"/>
        <w:adjustRightInd/>
        <w:snapToGrid/>
        <w:spacing w:line="720" w:lineRule="exact"/>
        <w:jc w:val="right"/>
        <w:textAlignment w:val="auto"/>
        <w:rPr>
          <w:rFonts w:hint="default" w:ascii="Nimbus Roman" w:hAnsi="Nimbus Roman" w:eastAsia="仿宋_GB2312" w:cs="Nimbus Roman"/>
          <w:b w:val="0"/>
          <w:bCs w:val="0"/>
          <w:kern w:val="2"/>
          <w:sz w:val="32"/>
          <w:szCs w:val="32"/>
        </w:rPr>
      </w:pPr>
    </w:p>
    <w:p w14:paraId="30E81360">
      <w:pPr>
        <w:keepNext w:val="0"/>
        <w:keepLines w:val="0"/>
        <w:pageBreakBefore w:val="0"/>
        <w:widowControl w:val="0"/>
        <w:kinsoku/>
        <w:wordWrap/>
        <w:overflowPunct/>
        <w:topLinePunct w:val="0"/>
        <w:autoSpaceDE/>
        <w:autoSpaceDN/>
        <w:bidi w:val="0"/>
        <w:adjustRightInd/>
        <w:snapToGrid/>
        <w:spacing w:line="720" w:lineRule="exact"/>
        <w:jc w:val="right"/>
        <w:textAlignment w:val="auto"/>
        <w:rPr>
          <w:rFonts w:hint="default" w:ascii="Nimbus Roman" w:hAnsi="Nimbus Roman" w:eastAsia="仿宋_GB2312" w:cs="Nimbus Roman"/>
          <w:b w:val="0"/>
          <w:bCs w:val="0"/>
          <w:kern w:val="2"/>
          <w:sz w:val="32"/>
          <w:szCs w:val="32"/>
        </w:rPr>
      </w:pPr>
    </w:p>
    <w:p w14:paraId="083BA222">
      <w:pPr>
        <w:keepNext w:val="0"/>
        <w:keepLines w:val="0"/>
        <w:pageBreakBefore w:val="0"/>
        <w:widowControl w:val="0"/>
        <w:kinsoku/>
        <w:wordWrap/>
        <w:overflowPunct/>
        <w:topLinePunct w:val="0"/>
        <w:autoSpaceDE/>
        <w:autoSpaceDN/>
        <w:bidi w:val="0"/>
        <w:adjustRightInd/>
        <w:snapToGrid/>
        <w:spacing w:line="720" w:lineRule="exact"/>
        <w:jc w:val="right"/>
        <w:textAlignment w:val="auto"/>
        <w:rPr>
          <w:rFonts w:hint="default" w:ascii="Nimbus Roman" w:hAnsi="Nimbus Roman" w:eastAsia="仿宋_GB2312" w:cs="Nimbus Roman"/>
          <w:b w:val="0"/>
          <w:bCs w:val="0"/>
          <w:color w:val="auto"/>
          <w:kern w:val="2"/>
          <w:sz w:val="32"/>
          <w:szCs w:val="32"/>
          <w:highlight w:val="yellow"/>
        </w:rPr>
      </w:pPr>
      <w:r>
        <w:rPr>
          <w:rFonts w:hint="default" w:ascii="Nimbus Roman" w:hAnsi="Nimbus Roman" w:eastAsia="仿宋_GB2312" w:cs="Nimbus Roman"/>
          <w:b w:val="0"/>
          <w:bCs w:val="0"/>
          <w:color w:val="auto"/>
          <w:kern w:val="2"/>
          <w:sz w:val="32"/>
          <w:szCs w:val="32"/>
        </w:rPr>
        <w:t>卫环海原分局函</w:t>
      </w:r>
      <w:r>
        <w:rPr>
          <w:rFonts w:hint="default" w:ascii="Nimbus Roman" w:hAnsi="Nimbus Roman" w:eastAsia="仿宋_GB2312" w:cs="Nimbus Roman"/>
          <w:b w:val="0"/>
          <w:bCs w:val="0"/>
          <w:color w:val="auto"/>
          <w:kern w:val="2"/>
          <w:sz w:val="32"/>
          <w:szCs w:val="32"/>
          <w:highlight w:val="none"/>
        </w:rPr>
        <w:t>〔202</w:t>
      </w:r>
      <w:r>
        <w:rPr>
          <w:rFonts w:hint="default" w:ascii="Nimbus Roman" w:hAnsi="Nimbus Roman" w:eastAsia="仿宋_GB2312" w:cs="Nimbus Roman"/>
          <w:b w:val="0"/>
          <w:bCs w:val="0"/>
          <w:color w:val="auto"/>
          <w:kern w:val="2"/>
          <w:sz w:val="32"/>
          <w:szCs w:val="32"/>
          <w:highlight w:val="none"/>
          <w:lang w:val="en-US" w:eastAsia="zh-CN"/>
        </w:rPr>
        <w:t>5</w:t>
      </w:r>
      <w:r>
        <w:rPr>
          <w:rFonts w:hint="default" w:ascii="Nimbus Roman" w:hAnsi="Nimbus Roman" w:eastAsia="仿宋_GB2312" w:cs="Nimbus Roman"/>
          <w:b w:val="0"/>
          <w:bCs w:val="0"/>
          <w:color w:val="auto"/>
          <w:kern w:val="2"/>
          <w:sz w:val="32"/>
          <w:szCs w:val="32"/>
          <w:highlight w:val="none"/>
        </w:rPr>
        <w:t>〕</w:t>
      </w:r>
      <w:r>
        <w:rPr>
          <w:rFonts w:hint="eastAsia" w:ascii="Nimbus Roman" w:hAnsi="Nimbus Roman" w:eastAsia="仿宋_GB2312" w:cs="Nimbus Roman"/>
          <w:b w:val="0"/>
          <w:bCs w:val="0"/>
          <w:color w:val="auto"/>
          <w:kern w:val="2"/>
          <w:sz w:val="32"/>
          <w:szCs w:val="32"/>
          <w:highlight w:val="none"/>
          <w:lang w:val="en-US" w:eastAsia="zh-CN"/>
        </w:rPr>
        <w:t>27</w:t>
      </w:r>
      <w:r>
        <w:rPr>
          <w:rFonts w:hint="default" w:ascii="Nimbus Roman" w:hAnsi="Nimbus Roman" w:eastAsia="仿宋_GB2312" w:cs="Nimbus Roman"/>
          <w:b w:val="0"/>
          <w:bCs w:val="0"/>
          <w:color w:val="auto"/>
          <w:kern w:val="2"/>
          <w:sz w:val="32"/>
          <w:szCs w:val="32"/>
          <w:highlight w:val="none"/>
        </w:rPr>
        <w:t>号</w:t>
      </w:r>
    </w:p>
    <w:p w14:paraId="086D11DE">
      <w:pPr>
        <w:pStyle w:val="8"/>
        <w:rPr>
          <w:rFonts w:hint="default" w:ascii="Nimbus Roman" w:hAnsi="Nimbus Roman" w:cs="Nimbus Roman"/>
          <w:color w:val="auto"/>
        </w:rPr>
      </w:pPr>
    </w:p>
    <w:p w14:paraId="1E1E9FFC">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Nimbus Roman" w:hAnsi="Nimbus Roman" w:eastAsia="方正小标宋_GBK" w:cs="Nimbus Roman"/>
          <w:b w:val="0"/>
          <w:bCs w:val="0"/>
          <w:color w:val="auto"/>
          <w:kern w:val="2"/>
          <w:sz w:val="44"/>
          <w:szCs w:val="44"/>
          <w:lang w:val="en-US" w:eastAsia="zh-CN"/>
        </w:rPr>
      </w:pPr>
      <w:r>
        <w:rPr>
          <w:rFonts w:hint="default" w:ascii="Nimbus Roman" w:hAnsi="Nimbus Roman" w:eastAsia="方正小标宋_GBK" w:cs="Nimbus Roman"/>
          <w:b w:val="0"/>
          <w:bCs w:val="0"/>
          <w:color w:val="auto"/>
          <w:kern w:val="2"/>
          <w:sz w:val="44"/>
          <w:szCs w:val="44"/>
          <w:lang w:val="en-US" w:eastAsia="zh-CN"/>
        </w:rPr>
        <w:t>关于海原县鑫淼建筑材料加工有限公司《宁夏海原县鑫淼建筑材料加工有限公司砂石料</w:t>
      </w:r>
    </w:p>
    <w:p w14:paraId="70D69C05">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Nimbus Roman" w:hAnsi="Nimbus Roman" w:eastAsia="方正小标宋_GBK" w:cs="Nimbus Roman"/>
          <w:b w:val="0"/>
          <w:bCs w:val="0"/>
          <w:color w:val="auto"/>
          <w:kern w:val="2"/>
          <w:sz w:val="44"/>
          <w:szCs w:val="44"/>
          <w:lang w:val="en-US" w:eastAsia="zh-CN"/>
        </w:rPr>
      </w:pPr>
      <w:r>
        <w:rPr>
          <w:rFonts w:hint="default" w:ascii="Nimbus Roman" w:hAnsi="Nimbus Roman" w:eastAsia="方正小标宋_GBK" w:cs="Nimbus Roman"/>
          <w:b w:val="0"/>
          <w:bCs w:val="0"/>
          <w:color w:val="auto"/>
          <w:kern w:val="2"/>
          <w:sz w:val="44"/>
          <w:szCs w:val="44"/>
          <w:lang w:val="en-US" w:eastAsia="zh-CN"/>
        </w:rPr>
        <w:t>加工项目环境影响报</w:t>
      </w:r>
      <w:bookmarkStart w:id="0" w:name="_GoBack"/>
      <w:bookmarkEnd w:id="0"/>
      <w:r>
        <w:rPr>
          <w:rFonts w:hint="default" w:ascii="Nimbus Roman" w:hAnsi="Nimbus Roman" w:eastAsia="方正小标宋_GBK" w:cs="Nimbus Roman"/>
          <w:b w:val="0"/>
          <w:bCs w:val="0"/>
          <w:color w:val="auto"/>
          <w:kern w:val="2"/>
          <w:sz w:val="44"/>
          <w:szCs w:val="44"/>
          <w:lang w:val="en-US" w:eastAsia="zh-CN"/>
        </w:rPr>
        <w:t>告表》</w:t>
      </w:r>
      <w:r>
        <w:rPr>
          <w:rFonts w:hint="eastAsia" w:ascii="Nimbus Roman" w:hAnsi="Nimbus Roman" w:eastAsia="方正小标宋_GBK" w:cs="Nimbus Roman"/>
          <w:b w:val="0"/>
          <w:bCs w:val="0"/>
          <w:color w:val="auto"/>
          <w:kern w:val="2"/>
          <w:sz w:val="44"/>
          <w:szCs w:val="44"/>
          <w:lang w:val="en-US" w:eastAsia="zh-CN"/>
        </w:rPr>
        <w:t>审批意见</w:t>
      </w:r>
      <w:r>
        <w:rPr>
          <w:rFonts w:hint="default" w:ascii="Nimbus Roman" w:hAnsi="Nimbus Roman" w:eastAsia="方正小标宋_GBK" w:cs="Nimbus Roman"/>
          <w:b w:val="0"/>
          <w:bCs w:val="0"/>
          <w:color w:val="auto"/>
          <w:kern w:val="2"/>
          <w:sz w:val="44"/>
          <w:szCs w:val="44"/>
          <w:lang w:val="en-US" w:eastAsia="zh-CN"/>
        </w:rPr>
        <w:t>的函</w:t>
      </w:r>
    </w:p>
    <w:p w14:paraId="3F9D485F">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Nimbus Roman" w:hAnsi="Nimbus Roman" w:eastAsia="方正小标宋_GBK" w:cs="Nimbus Roman"/>
          <w:b w:val="0"/>
          <w:bCs w:val="0"/>
          <w:kern w:val="2"/>
          <w:sz w:val="44"/>
          <w:szCs w:val="44"/>
          <w:lang w:val="en-US" w:eastAsia="zh-CN"/>
        </w:rPr>
      </w:pPr>
    </w:p>
    <w:p w14:paraId="178E5D8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Nimbus Roman" w:hAnsi="Nimbus Roman" w:eastAsia="仿宋_GB2312" w:cs="Nimbus Roman"/>
          <w:b w:val="0"/>
          <w:bCs/>
          <w:color w:val="auto"/>
          <w:kern w:val="2"/>
          <w:sz w:val="32"/>
          <w:szCs w:val="32"/>
          <w:lang w:bidi="en-US"/>
        </w:rPr>
      </w:pPr>
      <w:r>
        <w:rPr>
          <w:rFonts w:hint="default" w:ascii="Nimbus Roman" w:hAnsi="Nimbus Roman" w:eastAsia="仿宋_GB2312" w:cs="Nimbus Roman"/>
          <w:b w:val="0"/>
          <w:bCs/>
          <w:color w:val="auto"/>
          <w:kern w:val="2"/>
          <w:sz w:val="32"/>
          <w:szCs w:val="32"/>
          <w:lang w:val="en-US" w:eastAsia="zh-CN" w:bidi="en-US"/>
        </w:rPr>
        <w:t>海原县鑫淼建筑材料加工有限公司</w:t>
      </w:r>
      <w:r>
        <w:rPr>
          <w:rFonts w:hint="default" w:ascii="Nimbus Roman" w:hAnsi="Nimbus Roman" w:eastAsia="仿宋_GB2312" w:cs="Nimbus Roman"/>
          <w:b w:val="0"/>
          <w:bCs/>
          <w:color w:val="auto"/>
          <w:kern w:val="2"/>
          <w:sz w:val="32"/>
          <w:szCs w:val="32"/>
          <w:lang w:bidi="en-US"/>
        </w:rPr>
        <w:t>：</w:t>
      </w:r>
    </w:p>
    <w:p w14:paraId="22571C0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Nimbus Roman" w:hAnsi="Nimbus Roman" w:eastAsia="仿宋_GB2312" w:cs="Nimbus Roman"/>
          <w:b w:val="0"/>
          <w:bCs/>
          <w:color w:val="auto"/>
          <w:kern w:val="2"/>
          <w:sz w:val="32"/>
          <w:szCs w:val="32"/>
          <w:lang w:bidi="en-US"/>
        </w:rPr>
      </w:pPr>
      <w:r>
        <w:rPr>
          <w:rFonts w:hint="default" w:ascii="Nimbus Roman" w:hAnsi="Nimbus Roman" w:eastAsia="仿宋_GB2312" w:cs="Nimbus Roman"/>
          <w:b w:val="0"/>
          <w:bCs/>
          <w:color w:val="auto"/>
          <w:kern w:val="2"/>
          <w:sz w:val="32"/>
          <w:szCs w:val="32"/>
          <w:lang w:bidi="en-US"/>
        </w:rPr>
        <w:t>你单位报来的《</w:t>
      </w:r>
      <w:r>
        <w:rPr>
          <w:rFonts w:hint="default" w:ascii="Nimbus Roman" w:hAnsi="Nimbus Roman" w:eastAsia="仿宋_GB2312" w:cs="Nimbus Roman"/>
          <w:b w:val="0"/>
          <w:bCs/>
          <w:color w:val="auto"/>
          <w:kern w:val="2"/>
          <w:sz w:val="32"/>
          <w:szCs w:val="32"/>
          <w:lang w:val="en-US" w:eastAsia="zh-CN" w:bidi="en-US"/>
        </w:rPr>
        <w:t>宁夏海原县鑫淼建筑材料加工有限公司砂石料加工项目</w:t>
      </w:r>
      <w:r>
        <w:rPr>
          <w:rFonts w:hint="default" w:ascii="Nimbus Roman" w:hAnsi="Nimbus Roman" w:eastAsia="仿宋_GB2312" w:cs="Nimbus Roman"/>
          <w:b w:val="0"/>
          <w:bCs/>
          <w:color w:val="auto"/>
          <w:kern w:val="2"/>
          <w:sz w:val="32"/>
          <w:szCs w:val="32"/>
          <w:lang w:bidi="en-US"/>
        </w:rPr>
        <w:t>环境影响评价报告表》</w:t>
      </w:r>
      <w:r>
        <w:rPr>
          <w:rFonts w:hint="default" w:ascii="Nimbus Roman" w:hAnsi="Nimbus Roman" w:eastAsia="仿宋_GB2312" w:cs="Nimbus Roman"/>
          <w:b w:val="0"/>
          <w:bCs/>
          <w:color w:val="auto"/>
          <w:kern w:val="2"/>
          <w:sz w:val="32"/>
          <w:szCs w:val="32"/>
          <w:lang w:val="en-US" w:eastAsia="zh-CN" w:bidi="en-US"/>
        </w:rPr>
        <w:t>（</w:t>
      </w:r>
      <w:r>
        <w:rPr>
          <w:rFonts w:hint="default" w:ascii="Nimbus Roman" w:hAnsi="Nimbus Roman" w:eastAsia="仿宋_GB2312" w:cs="Nimbus Roman"/>
          <w:b w:val="0"/>
          <w:bCs/>
          <w:color w:val="auto"/>
          <w:kern w:val="2"/>
          <w:sz w:val="32"/>
          <w:szCs w:val="32"/>
          <w:lang w:bidi="en-US"/>
        </w:rPr>
        <w:t>以下简称“报告表”）收悉。根据专家评审小组意见，经研究，函复如下：</w:t>
      </w:r>
    </w:p>
    <w:p w14:paraId="20AED13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Nimbus Roman" w:hAnsi="Nimbus Roman" w:eastAsia="黑体" w:cs="Nimbus Roman"/>
          <w:b w:val="0"/>
          <w:bCs/>
          <w:color w:val="auto"/>
          <w:kern w:val="2"/>
          <w:sz w:val="32"/>
          <w:szCs w:val="32"/>
          <w:lang w:bidi="en-US"/>
        </w:rPr>
      </w:pPr>
      <w:r>
        <w:rPr>
          <w:rFonts w:hint="default" w:ascii="Nimbus Roman" w:hAnsi="Nimbus Roman" w:eastAsia="黑体" w:cs="Nimbus Roman"/>
          <w:b w:val="0"/>
          <w:bCs/>
          <w:color w:val="auto"/>
          <w:kern w:val="2"/>
          <w:sz w:val="32"/>
          <w:szCs w:val="32"/>
          <w:lang w:bidi="en-US"/>
        </w:rPr>
        <w:t>一、</w:t>
      </w:r>
      <w:r>
        <w:rPr>
          <w:rFonts w:hint="default" w:ascii="Nimbus Roman" w:hAnsi="Nimbus Roman" w:eastAsia="黑体" w:cs="Nimbus Roman"/>
          <w:b w:val="0"/>
          <w:bCs/>
          <w:color w:val="auto"/>
          <w:kern w:val="2"/>
          <w:sz w:val="32"/>
          <w:szCs w:val="32"/>
          <w:lang w:val="en-US" w:eastAsia="zh-CN" w:bidi="en-US"/>
        </w:rPr>
        <w:t>项目</w:t>
      </w:r>
      <w:r>
        <w:rPr>
          <w:rFonts w:hint="default" w:ascii="Nimbus Roman" w:hAnsi="Nimbus Roman" w:eastAsia="黑体" w:cs="Nimbus Roman"/>
          <w:b w:val="0"/>
          <w:bCs/>
          <w:color w:val="auto"/>
          <w:kern w:val="2"/>
          <w:sz w:val="32"/>
          <w:szCs w:val="32"/>
          <w:lang w:bidi="en-US"/>
        </w:rPr>
        <w:t>基本情况</w:t>
      </w:r>
    </w:p>
    <w:p w14:paraId="29314CA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Nimbus Roman" w:hAnsi="Nimbus Roman" w:eastAsia="仿宋_GB2312" w:cs="Nimbus Roman"/>
          <w:b w:val="0"/>
          <w:bCs/>
          <w:color w:val="auto"/>
          <w:kern w:val="2"/>
          <w:sz w:val="32"/>
          <w:szCs w:val="32"/>
          <w:lang w:val="en-US" w:eastAsia="zh-CN" w:bidi="en-US"/>
        </w:rPr>
      </w:pPr>
      <w:r>
        <w:rPr>
          <w:rFonts w:hint="default" w:ascii="Nimbus Roman" w:hAnsi="Nimbus Roman" w:eastAsia="仿宋_GB2312" w:cs="Nimbus Roman"/>
          <w:b w:val="0"/>
          <w:bCs/>
          <w:color w:val="auto"/>
          <w:kern w:val="2"/>
          <w:sz w:val="32"/>
          <w:szCs w:val="32"/>
          <w:lang w:val="en-US" w:eastAsia="zh-CN" w:bidi="en-US"/>
        </w:rPr>
        <w:t>项目位于宁夏回族自治区中卫市海原县七营镇，地理位置坐标106°9′8.626″、36°31′28.939″</w:t>
      </w:r>
      <w:r>
        <w:rPr>
          <w:rFonts w:hint="eastAsia" w:ascii="Nimbus Roman" w:hAnsi="Nimbus Roman" w:eastAsia="仿宋_GB2312" w:cs="Nimbus Roman"/>
          <w:b w:val="0"/>
          <w:bCs/>
          <w:color w:val="auto"/>
          <w:kern w:val="2"/>
          <w:sz w:val="32"/>
          <w:szCs w:val="32"/>
          <w:lang w:val="en-US" w:eastAsia="zh-CN" w:bidi="en-US"/>
        </w:rPr>
        <w:t>，</w:t>
      </w:r>
      <w:r>
        <w:rPr>
          <w:rFonts w:hint="default" w:ascii="Nimbus Roman" w:hAnsi="Nimbus Roman" w:eastAsia="仿宋_GB2312" w:cs="Nimbus Roman"/>
          <w:b w:val="0"/>
          <w:bCs/>
          <w:color w:val="auto"/>
          <w:kern w:val="2"/>
          <w:sz w:val="32"/>
          <w:szCs w:val="32"/>
          <w:lang w:val="en-US" w:eastAsia="zh-CN" w:bidi="en-US"/>
        </w:rPr>
        <w:t>为未批先建项目，</w:t>
      </w:r>
      <w:r>
        <w:rPr>
          <w:rFonts w:hint="eastAsia" w:ascii="Nimbus Roman" w:hAnsi="Nimbus Roman" w:eastAsia="仿宋_GB2312" w:cs="Nimbus Roman"/>
          <w:b w:val="0"/>
          <w:bCs/>
          <w:color w:val="auto"/>
          <w:kern w:val="2"/>
          <w:sz w:val="32"/>
          <w:szCs w:val="32"/>
          <w:lang w:val="en-US" w:eastAsia="zh-CN" w:bidi="en-US"/>
        </w:rPr>
        <w:t>项目建成后共</w:t>
      </w:r>
      <w:r>
        <w:rPr>
          <w:rFonts w:hint="default" w:ascii="Nimbus Roman" w:hAnsi="Nimbus Roman" w:eastAsia="仿宋_GB2312" w:cs="Nimbus Roman"/>
          <w:b w:val="0"/>
          <w:bCs/>
          <w:color w:val="auto"/>
          <w:kern w:val="2"/>
          <w:sz w:val="32"/>
          <w:szCs w:val="32"/>
          <w:lang w:val="en-US" w:eastAsia="zh-CN" w:bidi="en-US"/>
        </w:rPr>
        <w:t>建</w:t>
      </w:r>
      <w:r>
        <w:rPr>
          <w:rFonts w:hint="eastAsia" w:ascii="Nimbus Roman" w:hAnsi="Nimbus Roman" w:eastAsia="仿宋_GB2312" w:cs="Nimbus Roman"/>
          <w:b w:val="0"/>
          <w:bCs/>
          <w:color w:val="auto"/>
          <w:kern w:val="2"/>
          <w:sz w:val="32"/>
          <w:szCs w:val="32"/>
          <w:lang w:val="en-US" w:eastAsia="zh-CN" w:bidi="en-US"/>
        </w:rPr>
        <w:t>设两条生产线，</w:t>
      </w:r>
      <w:r>
        <w:rPr>
          <w:rFonts w:hint="default" w:ascii="Nimbus Roman" w:hAnsi="Nimbus Roman" w:eastAsia="仿宋_GB2312" w:cs="Nimbus Roman"/>
          <w:b w:val="0"/>
          <w:bCs/>
          <w:color w:val="auto"/>
          <w:kern w:val="2"/>
          <w:sz w:val="32"/>
          <w:szCs w:val="32"/>
          <w:lang w:val="en-US" w:eastAsia="zh-CN" w:bidi="en-US"/>
        </w:rPr>
        <w:t>1条建筑用砂生产线，年生产2万</w:t>
      </w:r>
      <w:r>
        <w:rPr>
          <w:rFonts w:hint="eastAsia" w:ascii="Nimbus Roman" w:hAnsi="Nimbus Roman" w:eastAsia="仿宋_GB2312" w:cs="Nimbus Roman"/>
          <w:b w:val="0"/>
          <w:bCs/>
          <w:color w:val="auto"/>
          <w:kern w:val="2"/>
          <w:sz w:val="32"/>
          <w:szCs w:val="32"/>
          <w:lang w:val="en-US" w:eastAsia="zh-CN" w:bidi="en-US"/>
        </w:rPr>
        <w:t>吨</w:t>
      </w:r>
      <w:r>
        <w:rPr>
          <w:rFonts w:hint="default" w:ascii="Nimbus Roman" w:hAnsi="Nimbus Roman" w:eastAsia="仿宋_GB2312" w:cs="Nimbus Roman"/>
          <w:b w:val="0"/>
          <w:bCs/>
          <w:color w:val="auto"/>
          <w:kern w:val="2"/>
          <w:sz w:val="32"/>
          <w:szCs w:val="32"/>
          <w:lang w:val="en-US" w:eastAsia="zh-CN" w:bidi="en-US"/>
        </w:rPr>
        <w:t>建筑用砂。1条商品混凝土生产线，年生产2万</w:t>
      </w:r>
      <w:r>
        <w:rPr>
          <w:rFonts w:hint="eastAsia" w:ascii="Nimbus Roman" w:hAnsi="Nimbus Roman" w:eastAsia="仿宋_GB2312" w:cs="Nimbus Roman"/>
          <w:b w:val="0"/>
          <w:bCs/>
          <w:color w:val="auto"/>
          <w:kern w:val="2"/>
          <w:sz w:val="32"/>
          <w:szCs w:val="32"/>
          <w:lang w:val="en-US" w:eastAsia="zh-CN" w:bidi="en-US"/>
        </w:rPr>
        <w:t>立方米</w:t>
      </w:r>
      <w:r>
        <w:rPr>
          <w:rFonts w:hint="default" w:ascii="Nimbus Roman" w:hAnsi="Nimbus Roman" w:eastAsia="仿宋_GB2312" w:cs="Nimbus Roman"/>
          <w:b w:val="0"/>
          <w:bCs/>
          <w:color w:val="auto"/>
          <w:kern w:val="2"/>
          <w:sz w:val="32"/>
          <w:szCs w:val="32"/>
          <w:lang w:val="en-US" w:eastAsia="zh-CN" w:bidi="en-US"/>
        </w:rPr>
        <w:t>商品混凝土</w:t>
      </w:r>
      <w:r>
        <w:rPr>
          <w:rFonts w:hint="eastAsia" w:ascii="Nimbus Roman" w:hAnsi="Nimbus Roman" w:eastAsia="仿宋_GB2312" w:cs="Nimbus Roman"/>
          <w:b w:val="0"/>
          <w:bCs/>
          <w:color w:val="auto"/>
          <w:kern w:val="2"/>
          <w:sz w:val="32"/>
          <w:szCs w:val="32"/>
          <w:lang w:val="en-US" w:eastAsia="zh-CN" w:bidi="en-US"/>
        </w:rPr>
        <w:t>，并配套相关环保设施</w:t>
      </w:r>
      <w:r>
        <w:rPr>
          <w:rFonts w:hint="default" w:ascii="Nimbus Roman" w:hAnsi="Nimbus Roman" w:eastAsia="仿宋_GB2312" w:cs="Nimbus Roman"/>
          <w:b w:val="0"/>
          <w:bCs/>
          <w:color w:val="auto"/>
          <w:kern w:val="2"/>
          <w:sz w:val="32"/>
          <w:szCs w:val="32"/>
          <w:lang w:val="en-US" w:eastAsia="zh-CN" w:bidi="en-US"/>
        </w:rPr>
        <w:t>。项目总投资120万元，其中环保投资40万元，占总投资的33.3%，主要用于废气、废水、噪声、固废</w:t>
      </w:r>
      <w:r>
        <w:rPr>
          <w:rFonts w:hint="eastAsia" w:ascii="Nimbus Roman" w:hAnsi="Nimbus Roman" w:eastAsia="仿宋_GB2312" w:cs="Nimbus Roman"/>
          <w:b w:val="0"/>
          <w:bCs/>
          <w:color w:val="auto"/>
          <w:kern w:val="2"/>
          <w:sz w:val="32"/>
          <w:szCs w:val="32"/>
          <w:lang w:val="en-US" w:eastAsia="zh-CN" w:bidi="en-US"/>
        </w:rPr>
        <w:t>污染防治</w:t>
      </w:r>
      <w:r>
        <w:rPr>
          <w:rFonts w:hint="default" w:ascii="Nimbus Roman" w:hAnsi="Nimbus Roman" w:eastAsia="仿宋_GB2312" w:cs="Nimbus Roman"/>
          <w:b w:val="0"/>
          <w:bCs/>
          <w:color w:val="auto"/>
          <w:kern w:val="2"/>
          <w:sz w:val="32"/>
          <w:szCs w:val="32"/>
          <w:lang w:val="en-US" w:eastAsia="zh-CN" w:bidi="en-US"/>
        </w:rPr>
        <w:t>等。</w:t>
      </w:r>
    </w:p>
    <w:p w14:paraId="432B232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Nimbus Roman" w:hAnsi="Nimbus Roman" w:eastAsia="仿宋_GB2312" w:cs="Nimbus Roman"/>
          <w:b w:val="0"/>
          <w:bCs/>
          <w:color w:val="auto"/>
          <w:kern w:val="2"/>
          <w:sz w:val="32"/>
          <w:szCs w:val="32"/>
          <w:lang w:val="en-US" w:eastAsia="zh-CN" w:bidi="en-US"/>
        </w:rPr>
      </w:pPr>
      <w:r>
        <w:rPr>
          <w:rFonts w:hint="default" w:ascii="Nimbus Roman" w:hAnsi="Nimbus Roman" w:eastAsia="仿宋_GB2312" w:cs="Nimbus Roman"/>
          <w:b w:val="0"/>
          <w:bCs/>
          <w:color w:val="auto"/>
          <w:kern w:val="2"/>
          <w:sz w:val="32"/>
          <w:szCs w:val="32"/>
          <w:lang w:val="en-US" w:eastAsia="zh-CN" w:bidi="en-US"/>
        </w:rPr>
        <w:t>根据《产业结构调整指导目录（2024年本）》（中华人民共和国国家发展和改革委员会令第7号），本项目属于允许类。经评估审查，该项目建设符合国家、自治区相关政策规划，在落实《宁夏海原县鑫淼建筑材料加工有限公司砂石料加工项目环境影响报告表》（以下简称《报告表》）提出的各项污染防治措施的基础上，同意你单位按照《报告表》中所列建设项目的性质、规模、地点、环境保护对策措施等进行项目建设。</w:t>
      </w:r>
    </w:p>
    <w:p w14:paraId="216225FC">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default" w:ascii="Nimbus Roman" w:hAnsi="Nimbus Roman" w:eastAsia="黑体" w:cs="Nimbus Roman"/>
          <w:b w:val="0"/>
          <w:bCs w:val="0"/>
          <w:color w:val="auto"/>
          <w:kern w:val="2"/>
          <w:sz w:val="32"/>
          <w:szCs w:val="32"/>
          <w:lang w:bidi="en-US"/>
        </w:rPr>
      </w:pPr>
      <w:r>
        <w:rPr>
          <w:rFonts w:hint="default" w:ascii="Nimbus Roman" w:hAnsi="Nimbus Roman" w:eastAsia="黑体" w:cs="Nimbus Roman"/>
          <w:b w:val="0"/>
          <w:bCs w:val="0"/>
          <w:color w:val="auto"/>
          <w:kern w:val="2"/>
          <w:sz w:val="32"/>
          <w:szCs w:val="32"/>
          <w:lang w:bidi="en-US"/>
        </w:rPr>
        <w:t>主要措施</w:t>
      </w:r>
    </w:p>
    <w:p w14:paraId="36DCDFA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国标楷体-GB/T 2312" w:hAnsi="国标楷体-GB/T 2312" w:eastAsia="国标楷体-GB/T 2312" w:cs="国标楷体-GB/T 2312"/>
          <w:b/>
          <w:bCs w:val="0"/>
          <w:color w:val="auto"/>
          <w:kern w:val="2"/>
          <w:sz w:val="32"/>
          <w:szCs w:val="32"/>
          <w:lang w:val="en-US" w:eastAsia="zh-CN" w:bidi="en-US"/>
        </w:rPr>
      </w:pPr>
      <w:r>
        <w:rPr>
          <w:rFonts w:hint="eastAsia" w:ascii="国标楷体-GB/T 2312" w:hAnsi="国标楷体-GB/T 2312" w:eastAsia="国标楷体-GB/T 2312" w:cs="国标楷体-GB/T 2312"/>
          <w:b/>
          <w:bCs w:val="0"/>
          <w:color w:val="auto"/>
          <w:kern w:val="2"/>
          <w:sz w:val="32"/>
          <w:szCs w:val="32"/>
          <w:lang w:val="en-US" w:eastAsia="zh-CN" w:bidi="en-US"/>
        </w:rPr>
        <w:t>（一）严格落实《报告表》提出的废气防治措施。</w:t>
      </w:r>
    </w:p>
    <w:p w14:paraId="3114595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Nimbus Roman" w:hAnsi="Nimbus Roman" w:eastAsia="仿宋_GB2312" w:cs="Nimbus Roman"/>
          <w:b w:val="0"/>
          <w:bCs/>
          <w:color w:val="auto"/>
          <w:kern w:val="2"/>
          <w:sz w:val="32"/>
          <w:szCs w:val="32"/>
          <w:lang w:val="en-US" w:eastAsia="zh-CN" w:bidi="en-US"/>
        </w:rPr>
      </w:pPr>
      <w:r>
        <w:rPr>
          <w:rFonts w:hint="default" w:ascii="Nimbus Roman" w:hAnsi="Nimbus Roman" w:eastAsia="仿宋_GB2312" w:cs="Nimbus Roman"/>
          <w:b w:val="0"/>
          <w:bCs/>
          <w:color w:val="auto"/>
          <w:kern w:val="2"/>
          <w:sz w:val="32"/>
          <w:szCs w:val="32"/>
          <w:lang w:val="en-US" w:eastAsia="zh-CN" w:bidi="en-US"/>
        </w:rPr>
        <w:t>施工期</w:t>
      </w:r>
      <w:r>
        <w:rPr>
          <w:rFonts w:hint="eastAsia" w:ascii="Nimbus Roman" w:hAnsi="Nimbus Roman" w:eastAsia="仿宋_GB2312" w:cs="Nimbus Roman"/>
          <w:b w:val="0"/>
          <w:bCs/>
          <w:color w:val="auto"/>
          <w:kern w:val="2"/>
          <w:sz w:val="32"/>
          <w:szCs w:val="32"/>
          <w:lang w:val="en-US" w:eastAsia="zh-CN" w:bidi="en-US"/>
        </w:rPr>
        <w:t>：</w:t>
      </w:r>
      <w:r>
        <w:rPr>
          <w:rFonts w:hint="default" w:ascii="Nimbus Roman" w:hAnsi="Nimbus Roman" w:eastAsia="仿宋_GB2312" w:cs="Nimbus Roman"/>
          <w:b w:val="0"/>
          <w:bCs/>
          <w:color w:val="auto"/>
          <w:kern w:val="2"/>
          <w:sz w:val="32"/>
          <w:szCs w:val="32"/>
          <w:lang w:val="en-US" w:eastAsia="zh-CN" w:bidi="en-US"/>
        </w:rPr>
        <w:t>废气主要为施工扬尘及施工机械排放的废气等。</w:t>
      </w:r>
      <w:r>
        <w:rPr>
          <w:rFonts w:hint="default" w:ascii="Nimbus Roman" w:hAnsi="Nimbus Roman" w:eastAsia="仿宋_GB2312" w:cs="Nimbus Roman"/>
          <w:b w:val="0"/>
          <w:bCs/>
          <w:color w:val="000000"/>
          <w:sz w:val="32"/>
          <w:szCs w:val="32"/>
          <w:lang w:val="en-US" w:eastAsia="zh-CN"/>
        </w:rPr>
        <w:t>施工现场，严格落实“六个标准化”防尘措施，加强对施工工地及渣土运输扬尘管理，</w:t>
      </w:r>
      <w:r>
        <w:rPr>
          <w:rFonts w:hint="default" w:ascii="Nimbus Roman" w:hAnsi="Nimbus Roman" w:eastAsia="仿宋_GB2312" w:cs="Nimbus Roman"/>
          <w:b w:val="0"/>
          <w:bCs/>
          <w:color w:val="auto"/>
          <w:kern w:val="2"/>
          <w:sz w:val="32"/>
          <w:szCs w:val="32"/>
          <w:lang w:val="en-US" w:eastAsia="zh-CN" w:bidi="en-US"/>
        </w:rPr>
        <w:t>对施工现场和建筑体分别采取围栏、覆盖遮蔽等措施，阻隔施工扬尘污染，定期洒水抑尘</w:t>
      </w:r>
      <w:r>
        <w:rPr>
          <w:rFonts w:hint="eastAsia" w:ascii="Nimbus Roman" w:hAnsi="Nimbus Roman" w:eastAsia="仿宋_GB2312" w:cs="Nimbus Roman"/>
          <w:b w:val="0"/>
          <w:bCs/>
          <w:color w:val="auto"/>
          <w:kern w:val="2"/>
          <w:sz w:val="32"/>
          <w:szCs w:val="32"/>
          <w:lang w:val="en-US" w:eastAsia="zh-CN" w:bidi="en-US"/>
        </w:rPr>
        <w:t>；</w:t>
      </w:r>
      <w:r>
        <w:rPr>
          <w:rFonts w:hint="default" w:ascii="Nimbus Roman" w:hAnsi="Nimbus Roman" w:eastAsia="仿宋_GB2312" w:cs="Nimbus Roman"/>
          <w:b w:val="0"/>
          <w:bCs/>
          <w:color w:val="auto"/>
          <w:kern w:val="2"/>
          <w:sz w:val="32"/>
          <w:szCs w:val="32"/>
          <w:lang w:val="en-US" w:eastAsia="zh-CN" w:bidi="en-US"/>
        </w:rPr>
        <w:t>建筑材料运输、装卸、堆存等易产生扬尘过程，应采取篷布遮盖、定期洒水抑尘的措施，覆盖要封闭严密，破损处要及时修复。气象预报5级以上大风或重度污染天气时，严禁建筑材料运输、装卸作业；工程完工后应及时清理和平整场地，防止扬尘污染。</w:t>
      </w:r>
    </w:p>
    <w:p w14:paraId="12484A4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Nimbus Roman" w:hAnsi="Nimbus Roman" w:eastAsia="仿宋_GB2312" w:cs="Nimbus Roman"/>
          <w:b w:val="0"/>
          <w:bCs/>
          <w:color w:val="auto"/>
          <w:kern w:val="2"/>
          <w:sz w:val="32"/>
          <w:szCs w:val="32"/>
          <w:lang w:val="en-US" w:eastAsia="zh-CN" w:bidi="en-US"/>
        </w:rPr>
      </w:pPr>
      <w:r>
        <w:rPr>
          <w:rFonts w:hint="default" w:ascii="Nimbus Roman" w:hAnsi="Nimbus Roman" w:eastAsia="仿宋_GB2312" w:cs="Nimbus Roman"/>
          <w:b w:val="0"/>
          <w:bCs/>
          <w:color w:val="auto"/>
          <w:kern w:val="2"/>
          <w:sz w:val="32"/>
          <w:szCs w:val="32"/>
          <w:lang w:val="en-US" w:eastAsia="zh-CN" w:bidi="en-US"/>
        </w:rPr>
        <w:t>运营期</w:t>
      </w:r>
      <w:r>
        <w:rPr>
          <w:rFonts w:hint="eastAsia" w:ascii="Nimbus Roman" w:hAnsi="Nimbus Roman" w:eastAsia="仿宋_GB2312" w:cs="Nimbus Roman"/>
          <w:b w:val="0"/>
          <w:bCs/>
          <w:color w:val="auto"/>
          <w:kern w:val="2"/>
          <w:sz w:val="32"/>
          <w:szCs w:val="32"/>
          <w:lang w:val="en-US" w:eastAsia="zh-CN" w:bidi="en-US"/>
        </w:rPr>
        <w:t>：</w:t>
      </w:r>
      <w:r>
        <w:rPr>
          <w:rFonts w:hint="default" w:ascii="Nimbus Roman" w:hAnsi="Nimbus Roman" w:eastAsia="仿宋_GB2312" w:cs="Nimbus Roman"/>
          <w:b w:val="0"/>
          <w:bCs/>
          <w:color w:val="auto"/>
          <w:kern w:val="2"/>
          <w:sz w:val="32"/>
          <w:szCs w:val="32"/>
          <w:lang w:val="en-US" w:eastAsia="zh-CN" w:bidi="en-US"/>
        </w:rPr>
        <w:t>原料堆放区四周设置防风抑尘网，同时采用苫布遮盖，并设置1台雾炮机进行洒水抑尘；原料上料、计量及投料粉尘：密闭皮带输送机，上料过程采用喷雾器洒水降尘；筛分工序粉尘：筛分设备上方设置1套集尘罩（集气效率95%），集中收集后经1台布袋除尘器（除尘效率99.5%）处理后，由1根15m高的排气筒（DA001）排放。运营期商品混凝土生产线粉料（水泥、粉煤灰）筒仓废气：仓顶设置脉冲袋式除尘器（共3套），经处理后通过仓顶无组织排放；原料上料、计量及投料工序粉尘：密闭式皮带输送机、密闭螺旋输送机、投料口设置喷雾器洒水降尘；搅拌工序废气：采用全封闭式混凝土搅拌机，配套设置1台脉冲袋式除尘器进行处理，经除尘器出口无组织排放。厂内运输车辆扬尘：厂区内配备1辆洒水车，平均每日洒水2次，厂区出入口设置1座洗车平台，对进出运输车辆轮胎进行清洗，运输过程进行篷布遮盖。建筑用砂生产线原料堆放区扬尘及原料上料、计量及投料粉尘执行《水泥工业大气污染物排放标准》（GB4915-2013）中表3无组织排放限值要求；筛分工序粉尘（DA001）执行《大气污染物综合排放标准》（GB16297-1996）表2中的限值要求。商品混凝土生产线粉料（水泥、粉煤灰）筒仓废气及原料上料、计量及投料工序粉尘、搅拌工序废气、厂内运输车辆扬尘执行《水泥工业大气污染物排放标准》（GB4915-2013）中表3无组织排放限值要求。</w:t>
      </w:r>
    </w:p>
    <w:p w14:paraId="18F17EC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国标楷体-GB/T 2312" w:hAnsi="国标楷体-GB/T 2312" w:eastAsia="国标楷体-GB/T 2312" w:cs="国标楷体-GB/T 2312"/>
          <w:b/>
          <w:bCs w:val="0"/>
          <w:color w:val="auto"/>
          <w:kern w:val="2"/>
          <w:sz w:val="32"/>
          <w:szCs w:val="32"/>
          <w:lang w:val="en-US" w:eastAsia="zh-CN" w:bidi="en-US"/>
        </w:rPr>
      </w:pPr>
      <w:r>
        <w:rPr>
          <w:rFonts w:hint="default" w:ascii="国标楷体-GB/T 2312" w:hAnsi="国标楷体-GB/T 2312" w:eastAsia="国标楷体-GB/T 2312" w:cs="国标楷体-GB/T 2312"/>
          <w:b/>
          <w:bCs w:val="0"/>
          <w:color w:val="auto"/>
          <w:kern w:val="2"/>
          <w:sz w:val="32"/>
          <w:szCs w:val="32"/>
          <w:lang w:val="en-US" w:eastAsia="zh-CN" w:bidi="en-US"/>
        </w:rPr>
        <w:t>（二）严</w:t>
      </w:r>
      <w:r>
        <w:rPr>
          <w:rFonts w:hint="eastAsia" w:ascii="国标楷体-GB/T 2312" w:hAnsi="国标楷体-GB/T 2312" w:eastAsia="国标楷体-GB/T 2312" w:cs="国标楷体-GB/T 2312"/>
          <w:b/>
          <w:bCs w:val="0"/>
          <w:color w:val="auto"/>
          <w:kern w:val="2"/>
          <w:sz w:val="32"/>
          <w:szCs w:val="32"/>
          <w:lang w:val="en-US" w:eastAsia="zh-CN" w:bidi="en-US"/>
        </w:rPr>
        <w:t>格</w:t>
      </w:r>
      <w:r>
        <w:rPr>
          <w:rFonts w:hint="default" w:ascii="国标楷体-GB/T 2312" w:hAnsi="国标楷体-GB/T 2312" w:eastAsia="国标楷体-GB/T 2312" w:cs="国标楷体-GB/T 2312"/>
          <w:b/>
          <w:bCs w:val="0"/>
          <w:color w:val="auto"/>
          <w:kern w:val="2"/>
          <w:sz w:val="32"/>
          <w:szCs w:val="32"/>
          <w:lang w:val="en-US" w:eastAsia="zh-CN" w:bidi="en-US"/>
        </w:rPr>
        <w:t>落实《报告表》提出的废水防治措施。</w:t>
      </w:r>
    </w:p>
    <w:p w14:paraId="483B2E2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Nimbus Roman" w:hAnsi="Nimbus Roman" w:eastAsia="仿宋_GB2312" w:cs="Nimbus Roman"/>
          <w:b w:val="0"/>
          <w:bCs/>
          <w:color w:val="auto"/>
          <w:kern w:val="2"/>
          <w:sz w:val="32"/>
          <w:szCs w:val="32"/>
          <w:lang w:val="en-US" w:eastAsia="zh-CN" w:bidi="en-US"/>
        </w:rPr>
      </w:pPr>
      <w:r>
        <w:rPr>
          <w:rFonts w:hint="default" w:ascii="Nimbus Roman" w:hAnsi="Nimbus Roman" w:eastAsia="仿宋_GB2312" w:cs="Nimbus Roman"/>
          <w:b w:val="0"/>
          <w:bCs/>
          <w:color w:val="auto"/>
          <w:kern w:val="2"/>
          <w:sz w:val="32"/>
          <w:szCs w:val="32"/>
          <w:lang w:val="en-US" w:eastAsia="zh-CN" w:bidi="en-US"/>
        </w:rPr>
        <w:t>施工期废水主要是施工人员生活污水和施工废水。施工废水经沉淀池沉淀后回用，不外排；生活污水污染物浓度较低，用于施工场地抑尘施工，现场设置防渗旱厕</w:t>
      </w:r>
      <w:r>
        <w:rPr>
          <w:rFonts w:hint="eastAsia" w:ascii="Nimbus Roman" w:hAnsi="Nimbus Roman" w:eastAsia="仿宋_GB2312" w:cs="Nimbus Roman"/>
          <w:b w:val="0"/>
          <w:bCs/>
          <w:color w:val="auto"/>
          <w:kern w:val="2"/>
          <w:sz w:val="32"/>
          <w:szCs w:val="32"/>
          <w:lang w:val="en-US" w:eastAsia="zh-CN" w:bidi="en-US"/>
        </w:rPr>
        <w:t>，现场</w:t>
      </w:r>
      <w:r>
        <w:rPr>
          <w:rFonts w:hint="default" w:ascii="Nimbus Roman" w:hAnsi="Nimbus Roman" w:eastAsia="仿宋_GB2312" w:cs="Nimbus Roman"/>
          <w:b w:val="0"/>
          <w:bCs/>
          <w:color w:val="auto"/>
          <w:kern w:val="2"/>
          <w:sz w:val="32"/>
          <w:szCs w:val="32"/>
          <w:lang w:val="en-US" w:eastAsia="zh-CN" w:bidi="en-US"/>
        </w:rPr>
        <w:t>人员粪便定期清掏用于周边农肥。</w:t>
      </w:r>
    </w:p>
    <w:p w14:paraId="5219465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Nimbus Roman" w:hAnsi="Nimbus Roman" w:eastAsia="仿宋_GB2312" w:cs="Nimbus Roman"/>
          <w:b w:val="0"/>
          <w:bCs/>
          <w:color w:val="auto"/>
          <w:kern w:val="2"/>
          <w:sz w:val="32"/>
          <w:szCs w:val="32"/>
          <w:lang w:val="en-US" w:eastAsia="zh-CN" w:bidi="en-US"/>
        </w:rPr>
      </w:pPr>
      <w:r>
        <w:rPr>
          <w:rFonts w:hint="default" w:ascii="Nimbus Roman" w:hAnsi="Nimbus Roman" w:eastAsia="仿宋_GB2312" w:cs="Nimbus Roman"/>
          <w:b w:val="0"/>
          <w:bCs/>
          <w:color w:val="auto"/>
          <w:kern w:val="2"/>
          <w:sz w:val="32"/>
          <w:szCs w:val="32"/>
          <w:lang w:val="en-US" w:eastAsia="zh-CN" w:bidi="en-US"/>
        </w:rPr>
        <w:t>运营期洗砂废水、脱水筛脱水</w:t>
      </w:r>
      <w:r>
        <w:rPr>
          <w:rFonts w:hint="default" w:ascii="Nimbus Roman" w:hAnsi="Nimbus Roman" w:eastAsia="仿宋_GB2312" w:cs="Nimbus Roman"/>
          <w:b w:val="0"/>
          <w:bCs/>
          <w:color w:val="auto"/>
          <w:kern w:val="2"/>
          <w:sz w:val="32"/>
          <w:szCs w:val="32"/>
          <w:lang w:val="zh-CN" w:eastAsia="zh-CN" w:bidi="en-US"/>
        </w:rPr>
        <w:t>经</w:t>
      </w:r>
      <w:r>
        <w:rPr>
          <w:rFonts w:hint="default" w:ascii="Nimbus Roman" w:hAnsi="Nimbus Roman" w:eastAsia="仿宋_GB2312" w:cs="Nimbus Roman"/>
          <w:b w:val="0"/>
          <w:bCs/>
          <w:color w:val="auto"/>
          <w:kern w:val="2"/>
          <w:sz w:val="32"/>
          <w:szCs w:val="32"/>
          <w:lang w:val="en-US" w:eastAsia="zh-CN" w:bidi="en-US"/>
        </w:rPr>
        <w:t>二级污水沉淀池处理后回用于洗砂，不外排；搅拌机清洗废水经沉淀后回用于商品混凝土搅拌用水，不外排；车辆轮胎冲洗废水经沉淀处理后回用于车辆轮胎冲洗用水，不外排；生活污水主要为盥洗废水，洒水抑尘自然蒸发，厂区设防渗旱厕，定期清掏用于周边农田施肥。</w:t>
      </w:r>
    </w:p>
    <w:p w14:paraId="256C5FD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国标楷体-GB/T 2312" w:hAnsi="国标楷体-GB/T 2312" w:eastAsia="国标楷体-GB/T 2312" w:cs="国标楷体-GB/T 2312"/>
          <w:b/>
          <w:bCs w:val="0"/>
          <w:color w:val="auto"/>
          <w:kern w:val="2"/>
          <w:sz w:val="32"/>
          <w:szCs w:val="32"/>
          <w:lang w:val="en-US" w:eastAsia="zh-CN" w:bidi="en-US"/>
        </w:rPr>
      </w:pPr>
      <w:r>
        <w:rPr>
          <w:rFonts w:hint="default" w:ascii="国标楷体-GB/T 2312" w:hAnsi="国标楷体-GB/T 2312" w:eastAsia="国标楷体-GB/T 2312" w:cs="国标楷体-GB/T 2312"/>
          <w:b/>
          <w:bCs w:val="0"/>
          <w:color w:val="auto"/>
          <w:kern w:val="2"/>
          <w:sz w:val="32"/>
          <w:szCs w:val="32"/>
          <w:lang w:val="en-US" w:eastAsia="zh-CN" w:bidi="en-US"/>
        </w:rPr>
        <w:t>（三）严</w:t>
      </w:r>
      <w:r>
        <w:rPr>
          <w:rFonts w:hint="eastAsia" w:ascii="国标楷体-GB/T 2312" w:hAnsi="国标楷体-GB/T 2312" w:eastAsia="国标楷体-GB/T 2312" w:cs="国标楷体-GB/T 2312"/>
          <w:b/>
          <w:bCs w:val="0"/>
          <w:color w:val="auto"/>
          <w:kern w:val="2"/>
          <w:sz w:val="32"/>
          <w:szCs w:val="32"/>
          <w:lang w:val="en-US" w:eastAsia="zh-CN" w:bidi="en-US"/>
        </w:rPr>
        <w:t>格</w:t>
      </w:r>
      <w:r>
        <w:rPr>
          <w:rFonts w:hint="default" w:ascii="国标楷体-GB/T 2312" w:hAnsi="国标楷体-GB/T 2312" w:eastAsia="国标楷体-GB/T 2312" w:cs="国标楷体-GB/T 2312"/>
          <w:b/>
          <w:bCs w:val="0"/>
          <w:color w:val="auto"/>
          <w:kern w:val="2"/>
          <w:sz w:val="32"/>
          <w:szCs w:val="32"/>
          <w:lang w:val="en-US" w:eastAsia="zh-CN" w:bidi="en-US"/>
        </w:rPr>
        <w:t>落实《报告表》提出的噪声防治措施。</w:t>
      </w:r>
    </w:p>
    <w:p w14:paraId="7C60F56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Nimbus Roman" w:hAnsi="Nimbus Roman" w:eastAsia="仿宋_GB2312" w:cs="Nimbus Roman"/>
          <w:b w:val="0"/>
          <w:bCs/>
          <w:color w:val="auto"/>
          <w:kern w:val="2"/>
          <w:sz w:val="32"/>
          <w:szCs w:val="32"/>
          <w:lang w:val="en-US" w:eastAsia="zh-CN" w:bidi="en-US"/>
        </w:rPr>
      </w:pPr>
      <w:r>
        <w:rPr>
          <w:rFonts w:hint="default" w:ascii="Nimbus Roman" w:hAnsi="Nimbus Roman" w:eastAsia="仿宋_GB2312" w:cs="Nimbus Roman"/>
          <w:b w:val="0"/>
          <w:bCs/>
          <w:color w:val="auto"/>
          <w:kern w:val="2"/>
          <w:sz w:val="32"/>
          <w:szCs w:val="32"/>
          <w:lang w:val="en-US" w:eastAsia="zh-CN" w:bidi="en-US"/>
        </w:rPr>
        <w:t>施工期</w:t>
      </w:r>
      <w:r>
        <w:rPr>
          <w:rFonts w:hint="default" w:ascii="Nimbus Roman" w:hAnsi="Nimbus Roman" w:eastAsia="仿宋_GB2312" w:cs="Nimbus Roman"/>
          <w:b w:val="0"/>
          <w:bCs/>
          <w:color w:val="auto"/>
          <w:kern w:val="2"/>
          <w:sz w:val="32"/>
          <w:szCs w:val="32"/>
          <w:lang w:val="zh-CN" w:eastAsia="zh-CN" w:bidi="en-US"/>
        </w:rPr>
        <w:t>通过合理安排施工机械设备位置，并对高噪声设备采取减振、隔音、选择合理施工时间等，可保证项目施工场界噪声满足《建筑施工场界环境噪声排放标准》（GB12523-2011）的要求。</w:t>
      </w:r>
    </w:p>
    <w:p w14:paraId="28A520A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Nimbus Roman" w:hAnsi="Nimbus Roman" w:eastAsia="仿宋_GB2312" w:cs="Nimbus Roman"/>
          <w:b w:val="0"/>
          <w:bCs/>
          <w:color w:val="auto"/>
          <w:kern w:val="2"/>
          <w:sz w:val="32"/>
          <w:szCs w:val="32"/>
          <w:lang w:val="en-US" w:eastAsia="zh-CN" w:bidi="en-US"/>
        </w:rPr>
      </w:pPr>
      <w:r>
        <w:rPr>
          <w:rFonts w:hint="default" w:ascii="Nimbus Roman" w:hAnsi="Nimbus Roman" w:eastAsia="仿宋_GB2312" w:cs="Nimbus Roman"/>
          <w:b w:val="0"/>
          <w:bCs/>
          <w:color w:val="auto"/>
          <w:kern w:val="2"/>
          <w:sz w:val="32"/>
          <w:szCs w:val="32"/>
          <w:lang w:val="en-US" w:eastAsia="zh-CN" w:bidi="en-US"/>
        </w:rPr>
        <w:t>运营期选用低噪声设备，采取消音、隔音、减振等措施，经车间阻隔、距离衰减、合理布局等治理措施，确保噪声排放满足《工业企业厂界环境噪声排放标准》（GB12348-2008）2类标准限值。</w:t>
      </w:r>
    </w:p>
    <w:p w14:paraId="669BAB5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Nimbus Roman" w:hAnsi="Nimbus Roman" w:eastAsia="仿宋_GB2312" w:cs="Nimbus Roman"/>
          <w:b/>
          <w:bCs w:val="0"/>
          <w:color w:val="auto"/>
          <w:kern w:val="2"/>
          <w:sz w:val="32"/>
          <w:szCs w:val="32"/>
          <w:lang w:val="en-US" w:eastAsia="zh-CN" w:bidi="en-US"/>
        </w:rPr>
      </w:pPr>
      <w:r>
        <w:rPr>
          <w:rFonts w:hint="default" w:ascii="国标楷体-GB/T 2312" w:hAnsi="国标楷体-GB/T 2312" w:eastAsia="国标楷体-GB/T 2312" w:cs="国标楷体-GB/T 2312"/>
          <w:b/>
          <w:bCs w:val="0"/>
          <w:color w:val="auto"/>
          <w:kern w:val="2"/>
          <w:sz w:val="32"/>
          <w:szCs w:val="32"/>
          <w:lang w:val="en-US" w:eastAsia="zh-CN" w:bidi="en-US"/>
        </w:rPr>
        <w:t>（四）严格落实《报告表》提出的固废防治措施。</w:t>
      </w:r>
    </w:p>
    <w:p w14:paraId="112CCD4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Nimbus Roman" w:hAnsi="Nimbus Roman" w:eastAsia="仿宋_GB2312" w:cs="Nimbus Roman"/>
          <w:b w:val="0"/>
          <w:bCs/>
          <w:color w:val="auto"/>
          <w:kern w:val="2"/>
          <w:sz w:val="32"/>
          <w:szCs w:val="32"/>
          <w:lang w:val="en-US" w:eastAsia="zh-CN" w:bidi="en-US"/>
        </w:rPr>
      </w:pPr>
      <w:r>
        <w:rPr>
          <w:rFonts w:hint="default" w:ascii="Nimbus Roman" w:hAnsi="Nimbus Roman" w:eastAsia="仿宋_GB2312" w:cs="Nimbus Roman"/>
          <w:b w:val="0"/>
          <w:bCs/>
          <w:color w:val="auto"/>
          <w:kern w:val="2"/>
          <w:sz w:val="32"/>
          <w:szCs w:val="32"/>
          <w:lang w:val="en-US" w:eastAsia="zh-CN" w:bidi="en-US"/>
        </w:rPr>
        <w:t>施工期建筑垃圾及时清运至政府指定地点；生活垃圾集中收集后由环卫部门统一处理；废设备包装物集中收集后外售废品收购站。</w:t>
      </w:r>
    </w:p>
    <w:p w14:paraId="3C17158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Nimbus Roman" w:hAnsi="Nimbus Roman" w:eastAsia="仿宋_GB2312" w:cs="Nimbus Roman"/>
          <w:b w:val="0"/>
          <w:bCs/>
          <w:color w:val="auto"/>
          <w:kern w:val="2"/>
          <w:sz w:val="32"/>
          <w:szCs w:val="32"/>
          <w:lang w:val="en-US" w:eastAsia="zh-CN" w:bidi="en-US"/>
        </w:rPr>
      </w:pPr>
      <w:r>
        <w:rPr>
          <w:rFonts w:hint="default" w:ascii="Nimbus Roman" w:hAnsi="Nimbus Roman" w:eastAsia="仿宋_GB2312" w:cs="Nimbus Roman"/>
          <w:b w:val="0"/>
          <w:bCs/>
          <w:color w:val="auto"/>
          <w:kern w:val="2"/>
          <w:sz w:val="32"/>
          <w:szCs w:val="32"/>
          <w:lang w:val="en-US" w:eastAsia="zh-CN" w:bidi="en-US"/>
        </w:rPr>
        <w:t>运营期产生的固体废物主要为筛分废料、除尘灰、废润滑油、废油桶、沉淀池沉渣及生活垃圾。其中筛分废料收集后外售后综合利用；筛分工序产生的除尘</w:t>
      </w:r>
      <w:r>
        <w:rPr>
          <w:rFonts w:hint="eastAsia" w:ascii="Nimbus Roman" w:hAnsi="Nimbus Roman" w:eastAsia="仿宋_GB2312" w:cs="Nimbus Roman"/>
          <w:b w:val="0"/>
          <w:bCs/>
          <w:color w:val="auto"/>
          <w:kern w:val="2"/>
          <w:sz w:val="32"/>
          <w:szCs w:val="32"/>
          <w:lang w:val="en-US" w:eastAsia="zh-CN" w:bidi="en-US"/>
        </w:rPr>
        <w:t>灰</w:t>
      </w:r>
      <w:r>
        <w:rPr>
          <w:rFonts w:hint="default" w:ascii="Nimbus Roman" w:hAnsi="Nimbus Roman" w:eastAsia="仿宋_GB2312" w:cs="Nimbus Roman"/>
          <w:b w:val="0"/>
          <w:bCs/>
          <w:color w:val="auto"/>
          <w:kern w:val="2"/>
          <w:sz w:val="32"/>
          <w:szCs w:val="32"/>
          <w:lang w:val="en-US" w:eastAsia="zh-CN" w:bidi="en-US"/>
        </w:rPr>
        <w:t>用于混凝土生产线搅拌工序；粉料仓仓顶除尘器收集到的除尘灰直接落入筒仓；搅拌机除尘灰直接返回搅拌机；建筑用砂生产线沉淀池沉渣及洗车平台自带沉淀池定期清掏沉渣定期清掏外售综合利用；商品混凝土生产线沉淀池沉渣全部回用于混凝土生产；建设单位在密闭厂房（建筑用砂）内设置1座临时贮存点，废润滑油及废油桶分别由密闭储油桶收集后，定期交由有资质的单位处置；生活垃圾集中收集后交由当地环卫部门统一处置。</w:t>
      </w:r>
    </w:p>
    <w:p w14:paraId="427DD6A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Nimbus Roman" w:hAnsi="Nimbus Roman" w:eastAsia="黑体" w:cs="Nimbus Roman"/>
          <w:b w:val="0"/>
          <w:bCs/>
          <w:color w:val="auto"/>
          <w:kern w:val="2"/>
          <w:sz w:val="32"/>
          <w:szCs w:val="32"/>
          <w:lang w:bidi="en-US"/>
        </w:rPr>
      </w:pPr>
      <w:r>
        <w:rPr>
          <w:rFonts w:hint="default" w:ascii="Nimbus Roman" w:hAnsi="Nimbus Roman" w:eastAsia="黑体" w:cs="Nimbus Roman"/>
          <w:b w:val="0"/>
          <w:bCs/>
          <w:color w:val="auto"/>
          <w:kern w:val="2"/>
          <w:sz w:val="32"/>
          <w:szCs w:val="32"/>
          <w:lang w:bidi="en-US"/>
        </w:rPr>
        <w:t>三、</w:t>
      </w:r>
      <w:r>
        <w:rPr>
          <w:rFonts w:hint="default" w:ascii="Nimbus Roman" w:hAnsi="Nimbus Roman" w:eastAsia="黑体" w:cs="Nimbus Roman"/>
          <w:b w:val="0"/>
          <w:bCs/>
          <w:color w:val="auto"/>
          <w:kern w:val="2"/>
          <w:sz w:val="32"/>
          <w:szCs w:val="32"/>
          <w:lang w:val="en-US" w:eastAsia="zh-CN" w:bidi="en-US"/>
        </w:rPr>
        <w:t>相</w:t>
      </w:r>
      <w:r>
        <w:rPr>
          <w:rFonts w:hint="default" w:ascii="Nimbus Roman" w:hAnsi="Nimbus Roman" w:eastAsia="黑体" w:cs="Nimbus Roman"/>
          <w:b w:val="0"/>
          <w:bCs/>
          <w:color w:val="auto"/>
          <w:kern w:val="2"/>
          <w:sz w:val="32"/>
          <w:szCs w:val="32"/>
          <w:lang w:bidi="en-US"/>
        </w:rPr>
        <w:t>关要求</w:t>
      </w:r>
    </w:p>
    <w:p w14:paraId="418F8D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仿宋_GB2312" w:cs="Nimbus Roman"/>
          <w:b w:val="0"/>
          <w:bCs/>
          <w:color w:val="auto"/>
          <w:kern w:val="2"/>
          <w:sz w:val="32"/>
          <w:szCs w:val="32"/>
          <w:lang w:val="en-US" w:eastAsia="zh-CN" w:bidi="en-US"/>
        </w:rPr>
      </w:pPr>
      <w:r>
        <w:rPr>
          <w:rFonts w:hint="default" w:ascii="Nimbus Roman" w:hAnsi="Nimbus Roman" w:eastAsia="仿宋_GB2312" w:cs="Nimbus Roman"/>
          <w:b w:val="0"/>
          <w:bCs/>
          <w:color w:val="auto"/>
          <w:kern w:val="2"/>
          <w:sz w:val="32"/>
          <w:szCs w:val="32"/>
          <w:lang w:val="en-US" w:eastAsia="zh-CN" w:bidi="en-US"/>
        </w:rPr>
        <w:t>（一）项目建设必须严格执行建设项目环境保护设施与主体工程同时设计、同时施工、同时投入使用的环境保护“三同时”制度，项目竣工投入运行前须按规定办理项目环保竣工验收，验收合格后方可投入生产，并将环保竣工验收材料报生态环境主管部门进行备案。</w:t>
      </w:r>
    </w:p>
    <w:p w14:paraId="08A128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仿宋_GB2312" w:cs="Nimbus Roman"/>
          <w:b w:val="0"/>
          <w:bCs/>
          <w:color w:val="auto"/>
          <w:kern w:val="2"/>
          <w:sz w:val="32"/>
          <w:szCs w:val="32"/>
          <w:lang w:val="en-US" w:eastAsia="zh-CN" w:bidi="en-US"/>
        </w:rPr>
      </w:pPr>
      <w:r>
        <w:rPr>
          <w:rFonts w:hint="default" w:ascii="Nimbus Roman" w:hAnsi="Nimbus Roman" w:eastAsia="仿宋_GB2312" w:cs="Nimbus Roman"/>
          <w:b w:val="0"/>
          <w:bCs/>
          <w:color w:val="auto"/>
          <w:kern w:val="2"/>
          <w:sz w:val="32"/>
          <w:szCs w:val="32"/>
          <w:lang w:val="en-US" w:eastAsia="zh-CN" w:bidi="en-US"/>
        </w:rPr>
        <w:t>（二）本批复仅限于《报告表》确定的工程内容，建设项目的地点、性质、规模、采用的工艺或者防治污染、防止生态破坏的措施等发生重大变动的，建设单位应当重新报批建设项目的环境影响评价文件。《报告表》自批准之日起，如超过5年方决定工程开工建设的，《报告表》应当报我局重新审核。</w:t>
      </w:r>
    </w:p>
    <w:p w14:paraId="2E12A6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仿宋_GB2312" w:cs="Nimbus Roman"/>
          <w:b w:val="0"/>
          <w:bCs/>
          <w:color w:val="auto"/>
          <w:kern w:val="2"/>
          <w:sz w:val="32"/>
          <w:szCs w:val="32"/>
          <w:lang w:val="en-US" w:eastAsia="zh-CN" w:bidi="en-US"/>
        </w:rPr>
      </w:pPr>
      <w:r>
        <w:rPr>
          <w:rFonts w:hint="default" w:ascii="Nimbus Roman" w:hAnsi="Nimbus Roman" w:eastAsia="仿宋_GB2312" w:cs="Nimbus Roman"/>
          <w:b w:val="0"/>
          <w:bCs/>
          <w:color w:val="auto"/>
          <w:kern w:val="2"/>
          <w:sz w:val="32"/>
          <w:szCs w:val="32"/>
          <w:lang w:val="en-US" w:eastAsia="zh-CN" w:bidi="en-US"/>
        </w:rPr>
        <w:t>（三）建设项目须依法依规取得相关部门合法手续后，方可开工建设。</w:t>
      </w:r>
    </w:p>
    <w:p w14:paraId="578140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仿宋_GB2312" w:cs="Nimbus Roman"/>
          <w:bCs/>
          <w:color w:val="auto"/>
          <w:sz w:val="32"/>
          <w:szCs w:val="32"/>
        </w:rPr>
      </w:pPr>
      <w:r>
        <w:rPr>
          <w:rFonts w:hint="default" w:ascii="Nimbus Roman" w:hAnsi="Nimbus Roman" w:eastAsia="仿宋_GB2312" w:cs="Nimbus Roman"/>
          <w:b w:val="0"/>
          <w:bCs/>
          <w:color w:val="auto"/>
          <w:kern w:val="2"/>
          <w:sz w:val="32"/>
          <w:szCs w:val="32"/>
          <w:lang w:val="en-US" w:eastAsia="zh-CN" w:bidi="en-US"/>
        </w:rPr>
        <w:t>（四）海原县生态环境保护执法大队负责该项目环境保护“三同时”监督工作。</w:t>
      </w:r>
    </w:p>
    <w:p w14:paraId="43332CB7">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baseline"/>
        <w:rPr>
          <w:rFonts w:hint="default" w:ascii="Nimbus Roman" w:hAnsi="Nimbus Roman" w:eastAsia="仿宋_GB2312" w:cs="Nimbus Roman"/>
          <w:color w:val="auto"/>
          <w:sz w:val="32"/>
          <w:szCs w:val="32"/>
        </w:rPr>
      </w:pPr>
      <w:r>
        <w:rPr>
          <w:rFonts w:hint="default" w:ascii="Nimbus Roman" w:hAnsi="Nimbus Roman" w:eastAsia="仿宋_GB2312" w:cs="Nimbus Roman"/>
          <w:b w:val="0"/>
          <w:bCs w:val="0"/>
          <w:color w:val="auto"/>
          <w:sz w:val="32"/>
          <w:szCs w:val="32"/>
          <w:lang w:val="en-US" w:eastAsia="zh-CN" w:bidi="en-US"/>
        </w:rPr>
        <w:t>（五）建设单位应建立健全环境管理制度和环保岗位责任制。设立专人负责项目运营期环境管理工作，加强设施的日常维护。</w:t>
      </w:r>
    </w:p>
    <w:p w14:paraId="3C993F1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338" w:afterAutospacing="0" w:line="490" w:lineRule="atLeast"/>
        <w:ind w:left="0" w:right="0" w:firstLine="0"/>
        <w:rPr>
          <w:rFonts w:hint="default" w:ascii="Nimbus Roman" w:hAnsi="Nimbus Roman" w:eastAsia="宋体" w:cs="Nimbus Roman"/>
          <w:b w:val="0"/>
          <w:bCs w:val="0"/>
          <w:i w:val="0"/>
          <w:iCs w:val="0"/>
          <w:caps w:val="0"/>
          <w:color w:val="auto"/>
          <w:spacing w:val="0"/>
          <w:sz w:val="30"/>
          <w:szCs w:val="30"/>
        </w:rPr>
      </w:pPr>
    </w:p>
    <w:p w14:paraId="5D2B1E0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left="0" w:right="0" w:firstLine="420"/>
        <w:jc w:val="center"/>
        <w:rPr>
          <w:rFonts w:hint="default" w:ascii="Nimbus Roman" w:hAnsi="Nimbus Roman" w:eastAsia="仿宋_GB2312" w:cs="Nimbus Roman"/>
          <w:b w:val="0"/>
          <w:bCs w:val="0"/>
          <w:color w:val="auto"/>
          <w:kern w:val="16"/>
          <w:sz w:val="32"/>
          <w:szCs w:val="32"/>
          <w:lang w:val="en-US" w:eastAsia="zh-CN" w:bidi="en-US"/>
        </w:rPr>
      </w:pPr>
      <w:r>
        <w:rPr>
          <w:rFonts w:hint="eastAsia" w:ascii="Nimbus Roman" w:hAnsi="Nimbus Roman" w:eastAsia="仿宋_GB2312" w:cs="Nimbus Roman"/>
          <w:b w:val="0"/>
          <w:bCs w:val="0"/>
          <w:color w:val="auto"/>
          <w:kern w:val="16"/>
          <w:sz w:val="32"/>
          <w:szCs w:val="32"/>
          <w:lang w:val="en-US" w:eastAsia="zh-CN" w:bidi="en-US"/>
        </w:rPr>
        <w:t xml:space="preserve">          </w:t>
      </w:r>
      <w:r>
        <w:rPr>
          <w:rFonts w:hint="default" w:ascii="Nimbus Roman" w:hAnsi="Nimbus Roman" w:eastAsia="仿宋_GB2312" w:cs="Nimbus Roman"/>
          <w:b w:val="0"/>
          <w:bCs w:val="0"/>
          <w:color w:val="auto"/>
          <w:kern w:val="16"/>
          <w:sz w:val="32"/>
          <w:szCs w:val="32"/>
          <w:lang w:val="en-US" w:eastAsia="zh-CN" w:bidi="en-US"/>
        </w:rPr>
        <w:t>中卫市生态环境局海原县分局</w:t>
      </w:r>
    </w:p>
    <w:p w14:paraId="60CE0D0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left="0" w:right="0" w:firstLine="420"/>
        <w:jc w:val="center"/>
        <w:rPr>
          <w:rFonts w:hint="default" w:ascii="Nimbus Roman" w:hAnsi="Nimbus Roman" w:eastAsia="仿宋_GB2312" w:cs="Nimbus Roman"/>
          <w:b w:val="0"/>
          <w:bCs w:val="0"/>
          <w:color w:val="auto"/>
          <w:kern w:val="16"/>
          <w:sz w:val="32"/>
          <w:szCs w:val="32"/>
          <w:lang w:val="en-US" w:eastAsia="zh-CN" w:bidi="en-US"/>
        </w:rPr>
      </w:pPr>
      <w:r>
        <w:rPr>
          <w:rFonts w:hint="eastAsia" w:ascii="Nimbus Roman" w:hAnsi="Nimbus Roman" w:eastAsia="仿宋_GB2312" w:cs="Nimbus Roman"/>
          <w:b w:val="0"/>
          <w:bCs w:val="0"/>
          <w:color w:val="auto"/>
          <w:kern w:val="16"/>
          <w:sz w:val="32"/>
          <w:szCs w:val="32"/>
          <w:lang w:val="en-US" w:eastAsia="zh-CN" w:bidi="en-US"/>
        </w:rPr>
        <w:t xml:space="preserve">        </w:t>
      </w:r>
      <w:r>
        <w:rPr>
          <w:rFonts w:hint="default" w:ascii="Nimbus Roman" w:hAnsi="Nimbus Roman" w:eastAsia="仿宋_GB2312" w:cs="Nimbus Roman"/>
          <w:b w:val="0"/>
          <w:bCs w:val="0"/>
          <w:color w:val="auto"/>
          <w:kern w:val="16"/>
          <w:sz w:val="32"/>
          <w:szCs w:val="32"/>
          <w:lang w:val="en-US" w:eastAsia="zh-CN" w:bidi="en-US"/>
        </w:rPr>
        <w:t>2025年</w:t>
      </w:r>
      <w:r>
        <w:rPr>
          <w:rFonts w:hint="eastAsia" w:ascii="Nimbus Roman" w:hAnsi="Nimbus Roman" w:eastAsia="仿宋_GB2312" w:cs="Nimbus Roman"/>
          <w:b w:val="0"/>
          <w:bCs w:val="0"/>
          <w:color w:val="auto"/>
          <w:kern w:val="16"/>
          <w:sz w:val="32"/>
          <w:szCs w:val="32"/>
          <w:lang w:val="en-US" w:eastAsia="zh-CN" w:bidi="en-US"/>
        </w:rPr>
        <w:t>11</w:t>
      </w:r>
      <w:r>
        <w:rPr>
          <w:rFonts w:hint="default" w:ascii="Nimbus Roman" w:hAnsi="Nimbus Roman" w:eastAsia="仿宋_GB2312" w:cs="Nimbus Roman"/>
          <w:b w:val="0"/>
          <w:bCs w:val="0"/>
          <w:color w:val="auto"/>
          <w:kern w:val="16"/>
          <w:sz w:val="32"/>
          <w:szCs w:val="32"/>
          <w:lang w:val="en-US" w:eastAsia="zh-CN" w:bidi="en-US"/>
        </w:rPr>
        <w:t>月</w:t>
      </w:r>
      <w:r>
        <w:rPr>
          <w:rFonts w:hint="eastAsia" w:ascii="Nimbus Roman" w:hAnsi="Nimbus Roman" w:eastAsia="仿宋_GB2312" w:cs="Nimbus Roman"/>
          <w:b w:val="0"/>
          <w:bCs w:val="0"/>
          <w:color w:val="auto"/>
          <w:kern w:val="16"/>
          <w:sz w:val="32"/>
          <w:szCs w:val="32"/>
          <w:lang w:val="en-US" w:eastAsia="zh-CN" w:bidi="en-US"/>
        </w:rPr>
        <w:t>21</w:t>
      </w:r>
      <w:r>
        <w:rPr>
          <w:rFonts w:hint="default" w:ascii="Nimbus Roman" w:hAnsi="Nimbus Roman" w:eastAsia="仿宋_GB2312" w:cs="Nimbus Roman"/>
          <w:b w:val="0"/>
          <w:bCs w:val="0"/>
          <w:color w:val="auto"/>
          <w:kern w:val="16"/>
          <w:sz w:val="32"/>
          <w:szCs w:val="32"/>
          <w:lang w:val="en-US" w:eastAsia="zh-CN" w:bidi="en-US"/>
        </w:rPr>
        <w:t>日</w:t>
      </w:r>
    </w:p>
    <w:p w14:paraId="2D164D5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left="0" w:right="0" w:firstLine="420"/>
        <w:jc w:val="right"/>
        <w:rPr>
          <w:rFonts w:hint="default" w:ascii="Nimbus Roman" w:hAnsi="Nimbus Roman" w:eastAsia="宋体" w:cs="Nimbus Roman"/>
          <w:b w:val="0"/>
          <w:bCs w:val="0"/>
          <w:i w:val="0"/>
          <w:iCs w:val="0"/>
          <w:caps w:val="0"/>
          <w:color w:val="000000" w:themeColor="text1"/>
          <w:spacing w:val="0"/>
          <w:sz w:val="30"/>
          <w:szCs w:val="30"/>
          <w:highlight w:val="yellow"/>
          <w:shd w:val="clear" w:fill="FFFFFF"/>
          <w14:textFill>
            <w14:solidFill>
              <w14:schemeClr w14:val="tx1"/>
            </w14:solidFill>
          </w14:textFill>
        </w:rPr>
      </w:pPr>
    </w:p>
    <w:p w14:paraId="4C5B17F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left="0" w:right="0" w:firstLine="420"/>
        <w:jc w:val="right"/>
        <w:rPr>
          <w:rFonts w:hint="default" w:ascii="Nimbus Roman" w:hAnsi="Nimbus Roman" w:eastAsia="宋体" w:cs="Nimbus Roman"/>
          <w:b w:val="0"/>
          <w:bCs w:val="0"/>
          <w:i w:val="0"/>
          <w:iCs w:val="0"/>
          <w:caps w:val="0"/>
          <w:color w:val="000000" w:themeColor="text1"/>
          <w:spacing w:val="0"/>
          <w:sz w:val="30"/>
          <w:szCs w:val="30"/>
          <w:highlight w:val="yellow"/>
          <w:shd w:val="clear" w:fill="FFFFFF"/>
          <w14:textFill>
            <w14:solidFill>
              <w14:schemeClr w14:val="tx1"/>
            </w14:solidFill>
          </w14:textFill>
        </w:rPr>
      </w:pPr>
    </w:p>
    <w:p w14:paraId="01AD857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left="0" w:right="0" w:firstLine="420"/>
        <w:jc w:val="right"/>
        <w:rPr>
          <w:rFonts w:hint="default" w:ascii="Nimbus Roman" w:hAnsi="Nimbus Roman" w:eastAsia="宋体" w:cs="Nimbus Roman"/>
          <w:b w:val="0"/>
          <w:bCs w:val="0"/>
          <w:i w:val="0"/>
          <w:iCs w:val="0"/>
          <w:caps w:val="0"/>
          <w:color w:val="000000" w:themeColor="text1"/>
          <w:spacing w:val="0"/>
          <w:sz w:val="30"/>
          <w:szCs w:val="30"/>
          <w:highlight w:val="yellow"/>
          <w:shd w:val="clear" w:fill="FFFFFF"/>
          <w14:textFill>
            <w14:solidFill>
              <w14:schemeClr w14:val="tx1"/>
            </w14:solidFill>
          </w14:textFill>
        </w:rPr>
      </w:pPr>
    </w:p>
    <w:p w14:paraId="46E4F0E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left="0" w:right="0" w:firstLine="420"/>
        <w:jc w:val="right"/>
        <w:rPr>
          <w:rFonts w:hint="default" w:ascii="Nimbus Roman" w:hAnsi="Nimbus Roman" w:eastAsia="宋体" w:cs="Nimbus Roman"/>
          <w:b w:val="0"/>
          <w:bCs w:val="0"/>
          <w:i w:val="0"/>
          <w:iCs w:val="0"/>
          <w:caps w:val="0"/>
          <w:color w:val="000000" w:themeColor="text1"/>
          <w:spacing w:val="0"/>
          <w:sz w:val="30"/>
          <w:szCs w:val="30"/>
          <w:highlight w:val="yellow"/>
          <w:shd w:val="clear" w:fill="FFFFFF"/>
          <w14:textFill>
            <w14:solidFill>
              <w14:schemeClr w14:val="tx1"/>
            </w14:solidFill>
          </w14:textFill>
        </w:rPr>
      </w:pPr>
    </w:p>
    <w:p w14:paraId="1E8C70C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left="0" w:right="0" w:firstLine="420"/>
        <w:jc w:val="right"/>
        <w:rPr>
          <w:rFonts w:hint="default" w:ascii="Nimbus Roman" w:hAnsi="Nimbus Roman" w:eastAsia="宋体" w:cs="Nimbus Roman"/>
          <w:b w:val="0"/>
          <w:bCs w:val="0"/>
          <w:i w:val="0"/>
          <w:iCs w:val="0"/>
          <w:caps w:val="0"/>
          <w:color w:val="000000" w:themeColor="text1"/>
          <w:spacing w:val="0"/>
          <w:sz w:val="30"/>
          <w:szCs w:val="30"/>
          <w:highlight w:val="yellow"/>
          <w:shd w:val="clear" w:fill="FFFFFF"/>
          <w14:textFill>
            <w14:solidFill>
              <w14:schemeClr w14:val="tx1"/>
            </w14:solidFill>
          </w14:textFill>
        </w:rPr>
      </w:pPr>
    </w:p>
    <w:p w14:paraId="74DA636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left="0" w:right="0" w:firstLine="420"/>
        <w:jc w:val="right"/>
        <w:rPr>
          <w:rFonts w:hint="default" w:ascii="Nimbus Roman" w:hAnsi="Nimbus Roman" w:eastAsia="宋体" w:cs="Nimbus Roman"/>
          <w:b w:val="0"/>
          <w:bCs w:val="0"/>
          <w:i w:val="0"/>
          <w:iCs w:val="0"/>
          <w:caps w:val="0"/>
          <w:color w:val="000000" w:themeColor="text1"/>
          <w:spacing w:val="0"/>
          <w:sz w:val="30"/>
          <w:szCs w:val="30"/>
          <w:highlight w:val="yellow"/>
          <w:shd w:val="clear" w:fill="FFFFFF"/>
          <w14:textFill>
            <w14:solidFill>
              <w14:schemeClr w14:val="tx1"/>
            </w14:solidFill>
          </w14:textFill>
        </w:rPr>
      </w:pPr>
    </w:p>
    <w:p w14:paraId="099418C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left="0" w:right="0" w:firstLine="420"/>
        <w:jc w:val="right"/>
        <w:rPr>
          <w:rFonts w:hint="default" w:ascii="Nimbus Roman" w:hAnsi="Nimbus Roman" w:eastAsia="宋体" w:cs="Nimbus Roman"/>
          <w:b w:val="0"/>
          <w:bCs w:val="0"/>
          <w:i w:val="0"/>
          <w:iCs w:val="0"/>
          <w:caps w:val="0"/>
          <w:color w:val="000000" w:themeColor="text1"/>
          <w:spacing w:val="0"/>
          <w:sz w:val="30"/>
          <w:szCs w:val="30"/>
          <w:highlight w:val="yellow"/>
          <w:shd w:val="clear" w:fill="FFFFFF"/>
          <w14:textFill>
            <w14:solidFill>
              <w14:schemeClr w14:val="tx1"/>
            </w14:solidFill>
          </w14:textFill>
        </w:rPr>
      </w:pPr>
    </w:p>
    <w:p w14:paraId="2E59F36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left="0" w:right="0" w:firstLine="420"/>
        <w:jc w:val="right"/>
        <w:rPr>
          <w:rFonts w:hint="default" w:ascii="Nimbus Roman" w:hAnsi="Nimbus Roman" w:eastAsia="宋体" w:cs="Nimbus Roman"/>
          <w:b w:val="0"/>
          <w:bCs w:val="0"/>
          <w:i w:val="0"/>
          <w:iCs w:val="0"/>
          <w:caps w:val="0"/>
          <w:color w:val="000000" w:themeColor="text1"/>
          <w:spacing w:val="0"/>
          <w:sz w:val="30"/>
          <w:szCs w:val="30"/>
          <w:highlight w:val="yellow"/>
          <w:shd w:val="clear" w:fill="FFFFFF"/>
          <w14:textFill>
            <w14:solidFill>
              <w14:schemeClr w14:val="tx1"/>
            </w14:solidFill>
          </w14:textFill>
        </w:rPr>
      </w:pPr>
    </w:p>
    <w:p w14:paraId="6F327F9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left="0" w:right="0" w:firstLine="420"/>
        <w:jc w:val="right"/>
        <w:rPr>
          <w:rFonts w:hint="default" w:ascii="Nimbus Roman" w:hAnsi="Nimbus Roman" w:eastAsia="宋体" w:cs="Nimbus Roman"/>
          <w:b w:val="0"/>
          <w:bCs w:val="0"/>
          <w:i w:val="0"/>
          <w:iCs w:val="0"/>
          <w:caps w:val="0"/>
          <w:color w:val="000000" w:themeColor="text1"/>
          <w:spacing w:val="0"/>
          <w:sz w:val="30"/>
          <w:szCs w:val="30"/>
          <w:highlight w:val="yellow"/>
          <w:shd w:val="clear" w:fill="FFFFFF"/>
          <w14:textFill>
            <w14:solidFill>
              <w14:schemeClr w14:val="tx1"/>
            </w14:solidFill>
          </w14:textFill>
        </w:rPr>
      </w:pPr>
    </w:p>
    <w:p w14:paraId="76E6B7E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left="0" w:right="0" w:firstLine="420"/>
        <w:jc w:val="right"/>
        <w:rPr>
          <w:rFonts w:hint="default" w:ascii="Nimbus Roman" w:hAnsi="Nimbus Roman" w:eastAsia="宋体" w:cs="Nimbus Roman"/>
          <w:b w:val="0"/>
          <w:bCs w:val="0"/>
          <w:i w:val="0"/>
          <w:iCs w:val="0"/>
          <w:caps w:val="0"/>
          <w:color w:val="000000" w:themeColor="text1"/>
          <w:spacing w:val="0"/>
          <w:sz w:val="30"/>
          <w:szCs w:val="30"/>
          <w:highlight w:val="yellow"/>
          <w:shd w:val="clear" w:fill="FFFFFF"/>
          <w14:textFill>
            <w14:solidFill>
              <w14:schemeClr w14:val="tx1"/>
            </w14:solidFill>
          </w14:textFill>
        </w:rPr>
      </w:pPr>
    </w:p>
    <w:p w14:paraId="2F02469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left="0" w:right="0" w:firstLine="420"/>
        <w:jc w:val="right"/>
        <w:rPr>
          <w:rFonts w:hint="default" w:ascii="Nimbus Roman" w:hAnsi="Nimbus Roman" w:eastAsia="宋体" w:cs="Nimbus Roman"/>
          <w:b w:val="0"/>
          <w:bCs w:val="0"/>
          <w:i w:val="0"/>
          <w:iCs w:val="0"/>
          <w:caps w:val="0"/>
          <w:color w:val="000000" w:themeColor="text1"/>
          <w:spacing w:val="0"/>
          <w:sz w:val="30"/>
          <w:szCs w:val="30"/>
          <w:highlight w:val="yellow"/>
          <w:shd w:val="clear" w:fill="FFFFFF"/>
          <w14:textFill>
            <w14:solidFill>
              <w14:schemeClr w14:val="tx1"/>
            </w14:solidFill>
          </w14:textFill>
        </w:rPr>
      </w:pPr>
    </w:p>
    <w:p w14:paraId="465396E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left="0" w:right="0" w:firstLine="420"/>
        <w:jc w:val="right"/>
        <w:rPr>
          <w:rFonts w:hint="default" w:ascii="Nimbus Roman" w:hAnsi="Nimbus Roman" w:eastAsia="宋体" w:cs="Nimbus Roman"/>
          <w:b w:val="0"/>
          <w:bCs w:val="0"/>
          <w:i w:val="0"/>
          <w:iCs w:val="0"/>
          <w:caps w:val="0"/>
          <w:color w:val="000000" w:themeColor="text1"/>
          <w:spacing w:val="0"/>
          <w:sz w:val="30"/>
          <w:szCs w:val="30"/>
          <w:highlight w:val="yellow"/>
          <w:shd w:val="clear" w:fill="FFFFFF"/>
          <w14:textFill>
            <w14:solidFill>
              <w14:schemeClr w14:val="tx1"/>
            </w14:solidFill>
          </w14:textFill>
        </w:rPr>
      </w:pPr>
    </w:p>
    <w:p w14:paraId="13D0968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left="0" w:right="0" w:firstLine="420"/>
        <w:jc w:val="right"/>
        <w:rPr>
          <w:rFonts w:hint="default" w:ascii="Nimbus Roman" w:hAnsi="Nimbus Roman" w:eastAsia="宋体" w:cs="Nimbus Roman"/>
          <w:b w:val="0"/>
          <w:bCs w:val="0"/>
          <w:i w:val="0"/>
          <w:iCs w:val="0"/>
          <w:caps w:val="0"/>
          <w:color w:val="000000" w:themeColor="text1"/>
          <w:spacing w:val="0"/>
          <w:sz w:val="30"/>
          <w:szCs w:val="30"/>
          <w:highlight w:val="yellow"/>
          <w:shd w:val="clear" w:fill="FFFFFF"/>
          <w14:textFill>
            <w14:solidFill>
              <w14:schemeClr w14:val="tx1"/>
            </w14:solidFill>
          </w14:textFill>
        </w:rPr>
      </w:pPr>
    </w:p>
    <w:p w14:paraId="26758C0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left="0" w:right="0" w:firstLine="420"/>
        <w:jc w:val="right"/>
        <w:rPr>
          <w:rFonts w:hint="default" w:ascii="Nimbus Roman" w:hAnsi="Nimbus Roman" w:eastAsia="宋体" w:cs="Nimbus Roman"/>
          <w:b w:val="0"/>
          <w:bCs w:val="0"/>
          <w:i w:val="0"/>
          <w:iCs w:val="0"/>
          <w:caps w:val="0"/>
          <w:color w:val="000000" w:themeColor="text1"/>
          <w:spacing w:val="0"/>
          <w:sz w:val="30"/>
          <w:szCs w:val="30"/>
          <w:highlight w:val="yellow"/>
          <w:shd w:val="clear" w:fill="FFFFFF"/>
          <w14:textFill>
            <w14:solidFill>
              <w14:schemeClr w14:val="tx1"/>
            </w14:solidFill>
          </w14:textFill>
        </w:rPr>
      </w:pPr>
    </w:p>
    <w:p w14:paraId="435297D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left="0" w:right="0" w:firstLine="420"/>
        <w:jc w:val="right"/>
        <w:rPr>
          <w:rFonts w:hint="default" w:ascii="Nimbus Roman" w:hAnsi="Nimbus Roman" w:eastAsia="宋体" w:cs="Nimbus Roman"/>
          <w:b w:val="0"/>
          <w:bCs w:val="0"/>
          <w:i w:val="0"/>
          <w:iCs w:val="0"/>
          <w:caps w:val="0"/>
          <w:color w:val="000000" w:themeColor="text1"/>
          <w:spacing w:val="0"/>
          <w:sz w:val="30"/>
          <w:szCs w:val="30"/>
          <w:highlight w:val="yellow"/>
          <w:shd w:val="clear" w:fill="FFFFFF"/>
          <w14:textFill>
            <w14:solidFill>
              <w14:schemeClr w14:val="tx1"/>
            </w14:solidFill>
          </w14:textFill>
        </w:rPr>
      </w:pPr>
    </w:p>
    <w:p w14:paraId="1FE4C53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left="0" w:right="0" w:firstLine="420"/>
        <w:jc w:val="right"/>
        <w:rPr>
          <w:rFonts w:hint="default" w:ascii="Nimbus Roman" w:hAnsi="Nimbus Roman" w:eastAsia="宋体" w:cs="Nimbus Roman"/>
          <w:b w:val="0"/>
          <w:bCs w:val="0"/>
          <w:i w:val="0"/>
          <w:iCs w:val="0"/>
          <w:caps w:val="0"/>
          <w:color w:val="000000" w:themeColor="text1"/>
          <w:spacing w:val="0"/>
          <w:sz w:val="30"/>
          <w:szCs w:val="30"/>
          <w:highlight w:val="yellow"/>
          <w:shd w:val="clear" w:fill="FFFFFF"/>
          <w14:textFill>
            <w14:solidFill>
              <w14:schemeClr w14:val="tx1"/>
            </w14:solidFill>
          </w14:textFill>
        </w:rPr>
      </w:pPr>
    </w:p>
    <w:p w14:paraId="476D0BE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left="0" w:right="0" w:firstLine="420"/>
        <w:jc w:val="right"/>
        <w:rPr>
          <w:rFonts w:hint="default" w:ascii="Nimbus Roman" w:hAnsi="Nimbus Roman" w:eastAsia="宋体" w:cs="Nimbus Roman"/>
          <w:b w:val="0"/>
          <w:bCs w:val="0"/>
          <w:i w:val="0"/>
          <w:iCs w:val="0"/>
          <w:caps w:val="0"/>
          <w:color w:val="000000" w:themeColor="text1"/>
          <w:spacing w:val="0"/>
          <w:sz w:val="30"/>
          <w:szCs w:val="30"/>
          <w:highlight w:val="yellow"/>
          <w:shd w:val="clear" w:fill="FFFFFF"/>
          <w14:textFill>
            <w14:solidFill>
              <w14:schemeClr w14:val="tx1"/>
            </w14:solidFill>
          </w14:textFill>
        </w:rPr>
      </w:pPr>
    </w:p>
    <w:p w14:paraId="1A74489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left="0" w:right="0" w:firstLine="420"/>
        <w:jc w:val="right"/>
        <w:rPr>
          <w:rFonts w:hint="default" w:ascii="Nimbus Roman" w:hAnsi="Nimbus Roman" w:eastAsia="宋体" w:cs="Nimbus Roman"/>
          <w:b w:val="0"/>
          <w:bCs w:val="0"/>
          <w:i w:val="0"/>
          <w:iCs w:val="0"/>
          <w:caps w:val="0"/>
          <w:color w:val="000000" w:themeColor="text1"/>
          <w:spacing w:val="0"/>
          <w:sz w:val="30"/>
          <w:szCs w:val="30"/>
          <w:highlight w:val="yellow"/>
          <w:shd w:val="clear" w:fill="FFFFFF"/>
          <w14:textFill>
            <w14:solidFill>
              <w14:schemeClr w14:val="tx1"/>
            </w14:solidFill>
          </w14:textFill>
        </w:rPr>
      </w:pPr>
    </w:p>
    <w:p w14:paraId="165DB3B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left="0" w:right="0" w:firstLine="420"/>
        <w:jc w:val="right"/>
        <w:rPr>
          <w:rFonts w:hint="default" w:ascii="Nimbus Roman" w:hAnsi="Nimbus Roman" w:eastAsia="宋体" w:cs="Nimbus Roman"/>
          <w:b w:val="0"/>
          <w:bCs w:val="0"/>
          <w:i w:val="0"/>
          <w:iCs w:val="0"/>
          <w:caps w:val="0"/>
          <w:color w:val="000000" w:themeColor="text1"/>
          <w:spacing w:val="0"/>
          <w:sz w:val="30"/>
          <w:szCs w:val="30"/>
          <w:highlight w:val="yellow"/>
          <w:shd w:val="clear" w:fill="FFFFFF"/>
          <w14:textFill>
            <w14:solidFill>
              <w14:schemeClr w14:val="tx1"/>
            </w14:solidFill>
          </w14:textFill>
        </w:rPr>
      </w:pPr>
    </w:p>
    <w:p w14:paraId="5FC0280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right="0"/>
        <w:jc w:val="both"/>
        <w:rPr>
          <w:rFonts w:hint="default" w:ascii="Nimbus Roman" w:hAnsi="Nimbus Roman" w:eastAsia="宋体" w:cs="Nimbus Roman"/>
          <w:b w:val="0"/>
          <w:bCs w:val="0"/>
          <w:i w:val="0"/>
          <w:iCs w:val="0"/>
          <w:caps w:val="0"/>
          <w:color w:val="000000" w:themeColor="text1"/>
          <w:spacing w:val="0"/>
          <w:sz w:val="30"/>
          <w:szCs w:val="30"/>
          <w:highlight w:val="yellow"/>
          <w:shd w:val="clear" w:fill="FFFFFF"/>
          <w14:textFill>
            <w14:solidFill>
              <w14:schemeClr w14:val="tx1"/>
            </w14:solidFill>
          </w14:textFill>
        </w:rPr>
      </w:pPr>
    </w:p>
    <w:p w14:paraId="715FC022">
      <w:pPr>
        <w:tabs>
          <w:tab w:val="left" w:pos="7655"/>
        </w:tabs>
        <w:spacing w:line="520" w:lineRule="exact"/>
        <w:ind w:firstLine="140" w:firstLineChars="50"/>
        <w:rPr>
          <w:rFonts w:hint="default" w:ascii="Nimbus Roman" w:hAnsi="Nimbus Roman" w:eastAsia="仿宋_GB2312" w:cs="Nimbus Roman"/>
          <w:b w:val="0"/>
          <w:bCs w:val="0"/>
          <w:kern w:val="0"/>
          <w:sz w:val="28"/>
          <w:szCs w:val="28"/>
          <w:highlight w:val="none"/>
        </w:rPr>
      </w:pPr>
      <w:r>
        <w:rPr>
          <w:rFonts w:hint="default" w:ascii="Nimbus Roman" w:hAnsi="Nimbus Roman" w:eastAsia="仿宋_GB2312" w:cs="Nimbus Roman"/>
          <w:b w:val="0"/>
          <w:bCs w:val="0"/>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332740</wp:posOffset>
                </wp:positionV>
                <wp:extent cx="58007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8007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6.2pt;height:0pt;width:456.75pt;z-index:251660288;mso-width-relative:page;mso-height-relative:page;" filled="f" stroked="t" coordsize="21600,21600" o:gfxdata="UEsDBAoAAAAAAIdO4kAAAAAAAAAAAAAAAAAEAAAAZHJzL1BLAwQUAAAACACHTuJAFfld3tQAAAAG&#10;AQAADwAAAGRycy9kb3ducmV2LnhtbE2PzU7DMBCE70i8g7VIXCpqJ6UIQjY9ALlxoYC4buMliYjX&#10;aez+wNNjxAGOOzOa+bZcHd2g9jyF3gtCNjegWBpve2kRXp7ri2tQIZJYGrwwwicHWFWnJyUV1h/k&#10;iffr2KpUIqEghC7GsdA6NB07CnM/siTv3U+OYjqnVtuJDqncDTo35ko76iUtdDTyXcfNx3rnEEL9&#10;ytv6a9bMzNui9Zxv7x8fCPH8LDO3oCIf418YfvATOlSJaeN3YoMaENIjEWGZX4JK7k22WILa/Aq6&#10;KvV//OobUEsDBBQAAAAIAIdO4kBkThQQ9AEAAOQDAAAOAAAAZHJzL2Uyb0RvYy54bWytU82O0zAQ&#10;viPxDpbvNGmlwhI13cOW5YKgEvAAU8dJLPlPHrdpX4IXQOIGJ47ceRt2H4Ox0+3C7qWHzcEZe8bf&#10;zPfNeHG5N5rtZEDlbM2nk5IzaYVrlO1q/vnT9YsLzjCCbUA7K2t+kMgvl8+fLQZfyZnrnW5kYARi&#10;sRp8zfsYfVUUKHppACfOS0vO1gUDkbahK5oAA6EbXczK8mUxuND44IREpNPV6ORHxHAOoGtbJeTK&#10;ia2RNo6oQWqIRAl75ZEvc7VtK0X80LYoI9M1J6Yxr5SE7E1ai+UCqi6A75U4lgDnlPCAkwFlKekJ&#10;agUR2DaoR1BGieDQtXEinClGIlkRYjEtH2jzsQcvMxeSGv1JdHw6WPF+tw5MNTWfcWbBUMNvvv76&#10;8+X77e9vtN78/MFmSaTBY0WxV3Ydjjv065AY79tg0p+4sH0W9nASVu4jE3Q4vyjLV7M5Z+LOV9xf&#10;9AHjW+kMS0bNtbKJM1Swe4eRklHoXUg61pYNNX89z3BAA9hS4wnZeCKBtst30WnVXCut0w0M3eZK&#10;B7aDNAT5S5QI97+wlGQF2I9x2TWORy+heWMbFg+e5LH0KngqwciGMy3pESWLAKGKoPQ5kZRaW6og&#10;qTrqmKyNaw7UjK0PqutJiWmuMnmo+bne46Cm6fp3n5HuH+fy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X5Xd7UAAAABgEAAA8AAAAAAAAAAQAgAAAAIgAAAGRycy9kb3ducmV2LnhtbFBLAQIUABQA&#10;AAAIAIdO4kBkThQQ9AEAAOQDAAAOAAAAAAAAAAEAIAAAACMBAABkcnMvZTJvRG9jLnhtbFBLBQYA&#10;AAAABgAGAFkBAACJBQAAAAA=&#10;">
                <v:fill on="f" focussize="0,0"/>
                <v:stroke color="#000000" joinstyle="round"/>
                <v:imagedata o:title=""/>
                <o:lock v:ext="edit" aspectratio="f"/>
              </v:line>
            </w:pict>
          </mc:Fallback>
        </mc:AlternateContent>
      </w:r>
      <w:r>
        <w:rPr>
          <w:rFonts w:hint="default" w:ascii="Nimbus Roman" w:hAnsi="Nimbus Roman" w:eastAsia="仿宋_GB2312" w:cs="Nimbus Roman"/>
          <w:b w:val="0"/>
          <w:bCs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35560</wp:posOffset>
                </wp:positionV>
                <wp:extent cx="580072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8007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pt;height:0pt;width:456.75pt;z-index:251659264;mso-width-relative:page;mso-height-relative:page;" filled="f" stroked="t" coordsize="21600,21600" o:gfxdata="UEsDBAoAAAAAAIdO4kAAAAAAAAAAAAAAAAAEAAAAZHJzL1BLAwQUAAAACACHTuJAxRGCrtMAAAAE&#10;AQAADwAAAGRycy9kb3ducmV2LnhtbE2PzU7DMBCE70i8g7VIXCpqp1WrEuL0AOTGhQLqdRsvSUS8&#10;TmP3B56ehQscRzOa+aZYn32vjjTGLrCFbGpAEdfBddxYeH2pblagYkJ22AcmC58UYV1eXhSYu3Di&#10;ZzpuUqOkhGOOFtqUhlzrWLfkMU7DQCzeexg9JpFjo92IJyn3vZ4Zs9QeO5aFFge6b6n+2By8hVi9&#10;0b76mtQTs503gWb7h6dHtPb6KjN3oBKd018YfvAFHUph2oUDu6h6C3IkWVgsQYl5m80XoHa/WpeF&#10;/g9ffgNQSwMEFAAAAAgAh07iQFfzuKfzAQAA5AMAAA4AAABkcnMvZTJvRG9jLnhtbK1TzY7TMBC+&#10;I/EOlu80aaXCEjXdw5blgqAS8ABTx0ks+U8et2lfghdA4gYnjtx5G3Yfg7HT7cLupYfNwRl7xt/M&#10;9814cbk3mu1kQOVszaeTkjNphWuU7Wr++dP1iwvOMIJtQDsra36QyC+Xz58tBl/JmeudbmRgBGKx&#10;GnzN+xh9VRQoemkAJ85LS87WBQORtqErmgADoRtdzMryZTG40PjghESk09Xo5EfEcA6ga1sl5MqJ&#10;rZE2jqhBaohECXvlkS9ztW0rRfzQtigj0zUnpjGvlITsTVqL5QKqLoDvlTiWAOeU8ICTAWUp6Qlq&#10;BRHYNqhHUEaJ4NC1cSKcKUYiWRFiMS0faPOxBy8zF5Ia/Ul0fDpY8X63Dkw1NAmcWTDU8Juvv/58&#10;+X77+xutNz9/sGkSafBYUeyVXYfjDv06JMb7Npj0Jy5sn4U9nISV+8gEHc4vyvLVbM6ZuPMV9xd9&#10;wPhWOsOSUXOtbOIMFezeYaRkFHoXko61ZUPNX88zHNAAttR4QjaeSKDt8l10WjXXSut0A0O3udKB&#10;7SANQf4SJcL9LywlWQH2Y1x2jePRS2je2IbFgyd5LL0KnkowsuFMS3pEySJAqCIofU4kpdaWKkiq&#10;jjoma+OaAzVj64PqelIiC59jqPm53uOgpun6d5+R7h/n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FEYKu0wAAAAQBAAAPAAAAAAAAAAEAIAAAACIAAABkcnMvZG93bnJldi54bWxQSwECFAAUAAAA&#10;CACHTuJAV/O4p/MBAADkAwAADgAAAAAAAAABACAAAAAiAQAAZHJzL2Uyb0RvYy54bWxQSwUGAAAA&#10;AAYABgBZAQAAhwUAAAAA&#10;">
                <v:fill on="f" focussize="0,0"/>
                <v:stroke color="#000000" joinstyle="round"/>
                <v:imagedata o:title=""/>
                <o:lock v:ext="edit" aspectratio="f"/>
              </v:line>
            </w:pict>
          </mc:Fallback>
        </mc:AlternateContent>
      </w:r>
      <w:r>
        <w:rPr>
          <w:rFonts w:hint="default" w:ascii="Nimbus Roman" w:hAnsi="Nimbus Roman" w:eastAsia="仿宋_GB2312" w:cs="Nimbus Roman"/>
          <w:b w:val="0"/>
          <w:bCs w:val="0"/>
          <w:kern w:val="0"/>
          <w:sz w:val="28"/>
          <w:szCs w:val="28"/>
        </w:rPr>
        <w:t xml:space="preserve">中卫市生态环境局海原县分局办公室   </w:t>
      </w:r>
      <w:r>
        <w:rPr>
          <w:rFonts w:hint="default" w:ascii="Nimbus Roman" w:hAnsi="Nimbus Roman" w:eastAsia="仿宋_GB2312" w:cs="Nimbus Roman"/>
          <w:b w:val="0"/>
          <w:bCs w:val="0"/>
          <w:kern w:val="0"/>
          <w:sz w:val="28"/>
          <w:szCs w:val="28"/>
          <w:lang w:val="en-US" w:eastAsia="zh-CN"/>
        </w:rPr>
        <w:t xml:space="preserve">    </w:t>
      </w:r>
      <w:r>
        <w:rPr>
          <w:rFonts w:hint="default" w:ascii="Nimbus Roman" w:hAnsi="Nimbus Roman" w:eastAsia="仿宋_GB2312" w:cs="Nimbus Roman"/>
          <w:b w:val="0"/>
          <w:bCs w:val="0"/>
          <w:kern w:val="0"/>
          <w:sz w:val="28"/>
          <w:szCs w:val="28"/>
          <w:highlight w:val="none"/>
          <w:lang w:val="en-US" w:eastAsia="zh-CN"/>
        </w:rPr>
        <w:t xml:space="preserve">   </w:t>
      </w:r>
      <w:r>
        <w:rPr>
          <w:rFonts w:hint="default" w:ascii="Nimbus Roman" w:hAnsi="Nimbus Roman" w:eastAsia="仿宋_GB2312" w:cs="Nimbus Roman"/>
          <w:b w:val="0"/>
          <w:bCs w:val="0"/>
          <w:kern w:val="0"/>
          <w:sz w:val="28"/>
          <w:szCs w:val="28"/>
          <w:highlight w:val="none"/>
        </w:rPr>
        <w:t>202</w:t>
      </w:r>
      <w:r>
        <w:rPr>
          <w:rFonts w:hint="default" w:ascii="Nimbus Roman" w:hAnsi="Nimbus Roman" w:eastAsia="仿宋_GB2312" w:cs="Nimbus Roman"/>
          <w:b w:val="0"/>
          <w:bCs w:val="0"/>
          <w:kern w:val="0"/>
          <w:sz w:val="28"/>
          <w:szCs w:val="28"/>
          <w:highlight w:val="none"/>
          <w:lang w:val="en-US" w:eastAsia="zh-CN"/>
        </w:rPr>
        <w:t>5</w:t>
      </w:r>
      <w:r>
        <w:rPr>
          <w:rFonts w:hint="default" w:ascii="Nimbus Roman" w:hAnsi="Nimbus Roman" w:eastAsia="仿宋_GB2312" w:cs="Nimbus Roman"/>
          <w:b w:val="0"/>
          <w:bCs w:val="0"/>
          <w:kern w:val="0"/>
          <w:sz w:val="28"/>
          <w:szCs w:val="28"/>
          <w:highlight w:val="none"/>
        </w:rPr>
        <w:t>年</w:t>
      </w:r>
      <w:r>
        <w:rPr>
          <w:rFonts w:hint="eastAsia" w:ascii="Nimbus Roman" w:hAnsi="Nimbus Roman" w:eastAsia="仿宋_GB2312" w:cs="Nimbus Roman"/>
          <w:b w:val="0"/>
          <w:bCs w:val="0"/>
          <w:kern w:val="0"/>
          <w:sz w:val="28"/>
          <w:szCs w:val="28"/>
          <w:highlight w:val="none"/>
          <w:lang w:val="en-US" w:eastAsia="zh-CN"/>
        </w:rPr>
        <w:t>11</w:t>
      </w:r>
      <w:r>
        <w:rPr>
          <w:rFonts w:hint="default" w:ascii="Nimbus Roman" w:hAnsi="Nimbus Roman" w:eastAsia="仿宋_GB2312" w:cs="Nimbus Roman"/>
          <w:b w:val="0"/>
          <w:bCs w:val="0"/>
          <w:kern w:val="0"/>
          <w:sz w:val="28"/>
          <w:szCs w:val="28"/>
          <w:highlight w:val="none"/>
        </w:rPr>
        <w:t>月</w:t>
      </w:r>
      <w:r>
        <w:rPr>
          <w:rFonts w:hint="eastAsia" w:ascii="Nimbus Roman" w:hAnsi="Nimbus Roman" w:eastAsia="仿宋_GB2312" w:cs="Nimbus Roman"/>
          <w:b w:val="0"/>
          <w:bCs w:val="0"/>
          <w:kern w:val="0"/>
          <w:sz w:val="28"/>
          <w:szCs w:val="28"/>
          <w:highlight w:val="none"/>
          <w:lang w:val="en-US" w:eastAsia="zh-CN"/>
        </w:rPr>
        <w:t>21</w:t>
      </w:r>
      <w:r>
        <w:rPr>
          <w:rFonts w:hint="default" w:ascii="Nimbus Roman" w:hAnsi="Nimbus Roman" w:eastAsia="仿宋_GB2312" w:cs="Nimbus Roman"/>
          <w:b w:val="0"/>
          <w:bCs w:val="0"/>
          <w:kern w:val="0"/>
          <w:sz w:val="28"/>
          <w:szCs w:val="28"/>
          <w:highlight w:val="none"/>
        </w:rPr>
        <w:t>日印发</w:t>
      </w:r>
    </w:p>
    <w:p w14:paraId="39BC813B">
      <w:pPr>
        <w:shd w:val="clear"/>
        <w:rPr>
          <w:rFonts w:hint="default" w:ascii="Nimbus Roman" w:hAnsi="Nimbus Roman" w:cs="Nimbus Roma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Nimbus Roman">
    <w:altName w:val="国标宋体-超大字符集"/>
    <w:panose1 w:val="00000500000000000000"/>
    <w:charset w:val="00"/>
    <w:family w:val="auto"/>
    <w:pitch w:val="default"/>
    <w:sig w:usb0="00000000" w:usb1="00000000" w:usb2="00000000" w:usb3="00000000" w:csb0="6000009F" w:csb1="00000000"/>
  </w:font>
  <w:font w:name="国标宋体-超大字符集">
    <w:panose1 w:val="03000509000000000000"/>
    <w:charset w:val="86"/>
    <w:family w:val="auto"/>
    <w:pitch w:val="default"/>
    <w:sig w:usb0="00000001" w:usb1="08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国标楷体-GB/T 2312">
    <w:altName w:val="楷体_GB2312"/>
    <w:panose1 w:val="020005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Music">
    <w:panose1 w:val="020B0502040504020204"/>
    <w:charset w:val="00"/>
    <w:family w:val="auto"/>
    <w:pitch w:val="default"/>
    <w:sig w:usb0="00000003" w:usb1="02006000" w:usb2="01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C5388"/>
    <w:multiLevelType w:val="singleLevel"/>
    <w:tmpl w:val="BCBC538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31F0D"/>
    <w:rsid w:val="06D870D9"/>
    <w:rsid w:val="0A5A33E4"/>
    <w:rsid w:val="0ECA4A1A"/>
    <w:rsid w:val="15130EC7"/>
    <w:rsid w:val="1A7F4006"/>
    <w:rsid w:val="1B216501"/>
    <w:rsid w:val="1BA60C44"/>
    <w:rsid w:val="1CF33ECD"/>
    <w:rsid w:val="1D991D9B"/>
    <w:rsid w:val="1F2760B0"/>
    <w:rsid w:val="208005A2"/>
    <w:rsid w:val="21A77AE0"/>
    <w:rsid w:val="21C30312"/>
    <w:rsid w:val="25C725E1"/>
    <w:rsid w:val="2A047719"/>
    <w:rsid w:val="2B994ABB"/>
    <w:rsid w:val="2F2B74F6"/>
    <w:rsid w:val="354D6418"/>
    <w:rsid w:val="387B56F8"/>
    <w:rsid w:val="38B247E4"/>
    <w:rsid w:val="3A485400"/>
    <w:rsid w:val="3D0C4E0B"/>
    <w:rsid w:val="3E300685"/>
    <w:rsid w:val="3EC86B10"/>
    <w:rsid w:val="41285F8B"/>
    <w:rsid w:val="416A65A4"/>
    <w:rsid w:val="435E1880"/>
    <w:rsid w:val="458D460F"/>
    <w:rsid w:val="479559FD"/>
    <w:rsid w:val="4B541076"/>
    <w:rsid w:val="4BD905AE"/>
    <w:rsid w:val="4C4D2D4A"/>
    <w:rsid w:val="4D5A74CD"/>
    <w:rsid w:val="4D7F33D7"/>
    <w:rsid w:val="51893482"/>
    <w:rsid w:val="548425E3"/>
    <w:rsid w:val="59D40607"/>
    <w:rsid w:val="5BF22FC6"/>
    <w:rsid w:val="6267026A"/>
    <w:rsid w:val="62F45876"/>
    <w:rsid w:val="644834C9"/>
    <w:rsid w:val="66A64089"/>
    <w:rsid w:val="6A59002F"/>
    <w:rsid w:val="6C12102A"/>
    <w:rsid w:val="6E296D1B"/>
    <w:rsid w:val="768F1B38"/>
    <w:rsid w:val="780132C5"/>
    <w:rsid w:val="79B46241"/>
    <w:rsid w:val="7FA51BD1"/>
    <w:rsid w:val="EFFB5554"/>
    <w:rsid w:val="FB3F7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 w:cs="仿宋"/>
      <w:b/>
      <w:bCs/>
      <w:kern w:val="16"/>
      <w:sz w:val="28"/>
      <w:szCs w:val="28"/>
      <w:lang w:val="en-US" w:eastAsia="zh-CN" w:bidi="ar-SA"/>
    </w:rPr>
  </w:style>
  <w:style w:type="paragraph" w:styleId="2">
    <w:name w:val="heading 2"/>
    <w:basedOn w:val="1"/>
    <w:next w:val="1"/>
    <w:qFormat/>
    <w:uiPriority w:val="0"/>
    <w:pPr>
      <w:keepNext/>
      <w:keepLines/>
      <w:spacing w:before="260" w:beforeLines="0" w:after="260" w:afterLines="0" w:line="415" w:lineRule="auto"/>
      <w:outlineLvl w:val="1"/>
    </w:pPr>
    <w:rPr>
      <w:rFonts w:ascii="Arial" w:hAnsi="Arial" w:eastAsia="黑体"/>
      <w:sz w:val="32"/>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kern w:val="0"/>
      <w:sz w:val="27"/>
      <w:szCs w:val="27"/>
      <w:lang w:val="en-US" w:eastAsia="zh-CN" w:bidi="ar"/>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5"/>
    <w:unhideWhenUsed/>
    <w:qFormat/>
    <w:uiPriority w:val="0"/>
    <w:pPr>
      <w:ind w:firstLine="420" w:firstLineChars="200"/>
    </w:pPr>
  </w:style>
  <w:style w:type="paragraph" w:customStyle="1" w:styleId="5">
    <w:name w:val="正文1"/>
    <w:basedOn w:val="1"/>
    <w:next w:val="1"/>
    <w:qFormat/>
    <w:uiPriority w:val="0"/>
    <w:pPr>
      <w:spacing w:line="360" w:lineRule="auto"/>
      <w:ind w:firstLine="480" w:firstLineChars="200"/>
    </w:pPr>
    <w:rPr>
      <w:kern w:val="0"/>
      <w:sz w:val="20"/>
      <w:szCs w:val="20"/>
    </w:rPr>
  </w:style>
  <w:style w:type="paragraph" w:styleId="6">
    <w:name w:val="index 5"/>
    <w:basedOn w:val="1"/>
    <w:next w:val="1"/>
    <w:qFormat/>
    <w:uiPriority w:val="0"/>
    <w:pPr>
      <w:ind w:left="1680"/>
    </w:pPr>
  </w:style>
  <w:style w:type="paragraph" w:styleId="7">
    <w:name w:val="Body Text Indent"/>
    <w:basedOn w:val="1"/>
    <w:next w:val="8"/>
    <w:qFormat/>
    <w:uiPriority w:val="0"/>
    <w:pPr>
      <w:autoSpaceDE w:val="0"/>
      <w:autoSpaceDN w:val="0"/>
      <w:adjustRightInd w:val="0"/>
      <w:spacing w:line="360" w:lineRule="auto"/>
      <w:ind w:firstLine="480" w:firstLineChars="200"/>
    </w:pPr>
    <w:rPr>
      <w:rFonts w:ascii="宋体" w:hAnsi="宋体"/>
      <w:kern w:val="0"/>
      <w:sz w:val="24"/>
      <w:szCs w:val="21"/>
    </w:rPr>
  </w:style>
  <w:style w:type="paragraph" w:styleId="8">
    <w:name w:val="Body Text First Indent 2"/>
    <w:basedOn w:val="7"/>
    <w:next w:val="1"/>
    <w:qFormat/>
    <w:uiPriority w:val="0"/>
    <w:pPr>
      <w:spacing w:after="120" w:line="240" w:lineRule="auto"/>
      <w:ind w:left="420" w:leftChars="200" w:firstLine="420"/>
    </w:pPr>
    <w:rPr>
      <w:szCs w:val="20"/>
    </w:rPr>
  </w:style>
  <w:style w:type="paragraph" w:styleId="9">
    <w:name w:val="footer"/>
    <w:basedOn w:val="1"/>
    <w:next w:val="1"/>
    <w:qFormat/>
    <w:uiPriority w:val="0"/>
    <w:pPr>
      <w:tabs>
        <w:tab w:val="center" w:pos="4153"/>
        <w:tab w:val="right" w:pos="8306"/>
      </w:tabs>
      <w:snapToGrid w:val="0"/>
      <w:jc w:val="left"/>
    </w:pPr>
    <w:rPr>
      <w:sz w:val="18"/>
      <w:szCs w:val="18"/>
    </w:rPr>
  </w:style>
  <w:style w:type="paragraph" w:styleId="10">
    <w:name w:val="index heading"/>
    <w:basedOn w:val="1"/>
    <w:next w:val="11"/>
    <w:qFormat/>
    <w:uiPriority w:val="0"/>
    <w:rPr>
      <w:rFonts w:ascii="Arial" w:hAnsi="Arial"/>
    </w:rPr>
  </w:style>
  <w:style w:type="paragraph" w:styleId="11">
    <w:name w:val="index 1"/>
    <w:basedOn w:val="1"/>
    <w:next w:val="1"/>
    <w:qFormat/>
    <w:uiPriority w:val="0"/>
    <w:pPr>
      <w:adjustRightInd w:val="0"/>
      <w:spacing w:line="240" w:lineRule="atLeast"/>
      <w:jc w:val="center"/>
      <w:textAlignment w:val="baseline"/>
    </w:pPr>
    <w:rPr>
      <w:rFonts w:ascii="宋体" w:hAnsi="宋体"/>
      <w:kern w:val="0"/>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样式 正文文本缩进 + 行距: 1.5 倍行距"/>
    <w:basedOn w:val="7"/>
    <w:autoRedefine/>
    <w:qFormat/>
    <w:uiPriority w:val="0"/>
    <w:pPr>
      <w:ind w:left="90" w:leftChars="32" w:firstLine="560" w:firstLineChars="200"/>
    </w:pPr>
    <w:rPr>
      <w:rFonts w:ascii="Times New Roman" w:cs="宋体"/>
    </w:rPr>
  </w:style>
  <w:style w:type="paragraph" w:customStyle="1" w:styleId="18">
    <w:name w:val="表格"/>
    <w:basedOn w:val="4"/>
    <w:next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19">
    <w:name w:val="Table Text"/>
    <w:basedOn w:val="1"/>
    <w:autoRedefine/>
    <w:semiHidden/>
    <w:qFormat/>
    <w:uiPriority w:val="0"/>
    <w:rPr>
      <w:rFonts w:ascii="宋体" w:hAnsi="宋体" w:eastAsia="宋体" w:cs="宋体"/>
      <w:sz w:val="24"/>
      <w:szCs w:val="24"/>
      <w:lang w:val="en-US" w:eastAsia="en-US" w:bidi="ar-SA"/>
    </w:rPr>
  </w:style>
  <w:style w:type="paragraph" w:customStyle="1" w:styleId="20">
    <w:name w:val="正文首行缩进 21"/>
    <w:basedOn w:val="7"/>
    <w:next w:val="1"/>
    <w:autoRedefine/>
    <w:qFormat/>
    <w:uiPriority w:val="0"/>
    <w:pPr>
      <w:spacing w:before="100" w:beforeAutospacing="1"/>
      <w:ind w:firstLine="420"/>
    </w:pPr>
    <w:rPr>
      <w:rFonts w:cs="宋体"/>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2581</Words>
  <Characters>2715</Characters>
  <Lines>0</Lines>
  <Paragraphs>0</Paragraphs>
  <TotalTime>6</TotalTime>
  <ScaleCrop>false</ScaleCrop>
  <LinksUpToDate>false</LinksUpToDate>
  <CharactersWithSpaces>2732</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2024-05-08T16:33:00Z</dcterms:created>
  <dc:creator>Administrator</dc:creator>
  <cp:lastModifiedBy>铃铛</cp:lastModifiedBy>
  <cp:lastPrinted>2025-11-27T14:28:02Z</cp:lastPrinted>
  <dcterms:modified xsi:type="dcterms:W3CDTF">2025-11-27T17:11:01Z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0C9B22D04DCDD6A3A5152869280789B2_43</vt:lpwstr>
  </property>
  <property fmtid="{D5CDD505-2E9C-101B-9397-08002B2CF9AE}" pid="4" name="KSOTemplateDocerSaveRecord">
    <vt:lpwstr>eyJoZGlkIjoiMjExZWFkZmNkZjdiMWQxMDJiMmY0MjQ3NjI0YWNlYWEiLCJ1c2VySWQiOiIyNTMwMTQ3NzUifQ==</vt:lpwstr>
  </property>
</Properties>
</file>