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DFB9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 w:val="0"/>
          <w:bCs w:val="0"/>
          <w:kern w:val="2"/>
          <w:sz w:val="32"/>
          <w:szCs w:val="32"/>
        </w:rPr>
      </w:pPr>
    </w:p>
    <w:p w14:paraId="69B04D1C">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 w:val="0"/>
          <w:bCs w:val="0"/>
          <w:kern w:val="2"/>
          <w:sz w:val="32"/>
          <w:szCs w:val="32"/>
        </w:rPr>
      </w:pPr>
    </w:p>
    <w:p w14:paraId="481A7BE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 w:val="0"/>
          <w:bCs w:val="0"/>
          <w:kern w:val="2"/>
          <w:sz w:val="32"/>
          <w:szCs w:val="32"/>
        </w:rPr>
      </w:pPr>
    </w:p>
    <w:p w14:paraId="63716EA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val="0"/>
          <w:kern w:val="2"/>
          <w:sz w:val="32"/>
          <w:szCs w:val="32"/>
          <w:highlight w:val="none"/>
        </w:rPr>
      </w:pPr>
      <w:r>
        <w:rPr>
          <w:rFonts w:hint="eastAsia" w:eastAsia="仿宋_GB2312" w:cs="Times New Roman"/>
          <w:b w:val="0"/>
          <w:bCs w:val="0"/>
          <w:kern w:val="2"/>
          <w:sz w:val="32"/>
          <w:szCs w:val="32"/>
          <w:lang w:val="en-US" w:eastAsia="zh-CN"/>
        </w:rPr>
        <w:t xml:space="preserve">                     </w:t>
      </w:r>
      <w:r>
        <w:rPr>
          <w:rFonts w:hint="default" w:ascii="Times New Roman" w:hAnsi="Times New Roman" w:eastAsia="仿宋_GB2312" w:cs="Times New Roman"/>
          <w:b w:val="0"/>
          <w:bCs w:val="0"/>
          <w:kern w:val="2"/>
          <w:sz w:val="32"/>
          <w:szCs w:val="32"/>
        </w:rPr>
        <w:t>卫环海原分</w:t>
      </w:r>
      <w:r>
        <w:rPr>
          <w:rFonts w:hint="default" w:ascii="Times New Roman" w:hAnsi="Times New Roman" w:eastAsia="仿宋_GB2312" w:cs="Times New Roman"/>
          <w:b w:val="0"/>
          <w:bCs w:val="0"/>
          <w:kern w:val="2"/>
          <w:sz w:val="32"/>
          <w:szCs w:val="32"/>
          <w:highlight w:val="none"/>
        </w:rPr>
        <w:t>局函〔202</w:t>
      </w:r>
      <w:r>
        <w:rPr>
          <w:rFonts w:hint="default" w:ascii="Times New Roman" w:hAnsi="Times New Roman" w:eastAsia="仿宋_GB2312" w:cs="Times New Roman"/>
          <w:b w:val="0"/>
          <w:bCs w:val="0"/>
          <w:kern w:val="2"/>
          <w:sz w:val="32"/>
          <w:szCs w:val="32"/>
          <w:highlight w:val="none"/>
          <w:lang w:val="en-US" w:eastAsia="zh-CN"/>
        </w:rPr>
        <w:t>5</w:t>
      </w:r>
      <w:r>
        <w:rPr>
          <w:rFonts w:hint="default" w:ascii="Times New Roman" w:hAnsi="Times New Roman" w:eastAsia="仿宋_GB2312" w:cs="Times New Roman"/>
          <w:b w:val="0"/>
          <w:bCs w:val="0"/>
          <w:kern w:val="2"/>
          <w:sz w:val="32"/>
          <w:szCs w:val="32"/>
          <w:highlight w:val="none"/>
        </w:rPr>
        <w:t>〕</w:t>
      </w:r>
      <w:r>
        <w:rPr>
          <w:rFonts w:hint="eastAsia" w:eastAsia="仿宋_GB2312" w:cs="Times New Roman"/>
          <w:b w:val="0"/>
          <w:bCs w:val="0"/>
          <w:color w:val="auto"/>
          <w:kern w:val="2"/>
          <w:sz w:val="32"/>
          <w:szCs w:val="32"/>
          <w:highlight w:val="none"/>
          <w:lang w:val="en-US" w:eastAsia="zh-CN"/>
        </w:rPr>
        <w:t>19</w:t>
      </w:r>
      <w:r>
        <w:rPr>
          <w:rFonts w:hint="default" w:ascii="Times New Roman" w:hAnsi="Times New Roman" w:eastAsia="仿宋_GB2312" w:cs="Times New Roman"/>
          <w:b w:val="0"/>
          <w:bCs w:val="0"/>
          <w:kern w:val="2"/>
          <w:sz w:val="32"/>
          <w:szCs w:val="32"/>
          <w:highlight w:val="none"/>
        </w:rPr>
        <w:t>号</w:t>
      </w:r>
    </w:p>
    <w:p w14:paraId="5D172F87">
      <w:pPr>
        <w:pStyle w:val="13"/>
        <w:keepNext w:val="0"/>
        <w:keepLines w:val="0"/>
        <w:pageBreakBefore w:val="0"/>
        <w:widowControl w:val="0"/>
        <w:kinsoku/>
        <w:wordWrap/>
        <w:overflowPunct/>
        <w:topLinePunct w:val="0"/>
        <w:bidi w:val="0"/>
        <w:snapToGrid/>
        <w:spacing w:after="0" w:line="580" w:lineRule="exact"/>
        <w:textAlignment w:val="auto"/>
        <w:rPr>
          <w:rFonts w:hint="default" w:ascii="Times New Roman" w:hAnsi="Times New Roman" w:cs="Times New Roman"/>
        </w:rPr>
      </w:pPr>
    </w:p>
    <w:p w14:paraId="4802596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val="0"/>
          <w:bCs w:val="0"/>
          <w:kern w:val="2"/>
          <w:sz w:val="44"/>
          <w:szCs w:val="44"/>
          <w:lang w:val="en-US" w:eastAsia="zh-CN"/>
        </w:rPr>
      </w:pPr>
      <w:r>
        <w:rPr>
          <w:rFonts w:hint="default" w:ascii="Times New Roman" w:hAnsi="Times New Roman" w:eastAsia="方正小标宋_GBK" w:cs="Times New Roman"/>
          <w:b w:val="0"/>
          <w:bCs w:val="0"/>
          <w:kern w:val="2"/>
          <w:sz w:val="44"/>
          <w:szCs w:val="44"/>
        </w:rPr>
        <w:t>关</w:t>
      </w:r>
      <w:r>
        <w:rPr>
          <w:rFonts w:hint="default" w:ascii="Times New Roman" w:hAnsi="Times New Roman" w:eastAsia="方正小标宋_GBK" w:cs="Times New Roman"/>
          <w:b w:val="0"/>
          <w:bCs w:val="0"/>
          <w:kern w:val="2"/>
          <w:sz w:val="44"/>
          <w:szCs w:val="44"/>
          <w:lang w:val="en-US" w:eastAsia="zh-CN"/>
        </w:rPr>
        <w:t>于</w:t>
      </w:r>
      <w:bookmarkStart w:id="0" w:name="_Hlk183469180"/>
      <w:r>
        <w:rPr>
          <w:rFonts w:hint="default" w:ascii="Times New Roman" w:hAnsi="Times New Roman" w:eastAsia="方正小标宋_GBK" w:cs="Times New Roman"/>
          <w:b w:val="0"/>
          <w:bCs w:val="0"/>
          <w:kern w:val="2"/>
          <w:sz w:val="44"/>
          <w:szCs w:val="44"/>
          <w:lang w:val="en-US" w:eastAsia="zh-CN"/>
        </w:rPr>
        <w:t>宁夏圣特保温材料有限公司《</w:t>
      </w:r>
      <w:bookmarkEnd w:id="0"/>
      <w:r>
        <w:rPr>
          <w:rFonts w:hint="default" w:ascii="Times New Roman" w:hAnsi="Times New Roman" w:eastAsia="方正小标宋_GBK" w:cs="Times New Roman"/>
          <w:b w:val="0"/>
          <w:bCs w:val="0"/>
          <w:kern w:val="2"/>
          <w:sz w:val="44"/>
          <w:szCs w:val="44"/>
          <w:lang w:val="en-US" w:eastAsia="zh-CN"/>
        </w:rPr>
        <w:t>模压</w:t>
      </w:r>
    </w:p>
    <w:p w14:paraId="172C6DE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val="0"/>
          <w:bCs w:val="0"/>
          <w:kern w:val="2"/>
          <w:sz w:val="44"/>
          <w:szCs w:val="44"/>
          <w:lang w:val="en-US" w:eastAsia="zh-CN"/>
        </w:rPr>
      </w:pPr>
      <w:r>
        <w:rPr>
          <w:rFonts w:hint="default" w:ascii="Times New Roman" w:hAnsi="Times New Roman" w:eastAsia="方正小标宋_GBK" w:cs="Times New Roman"/>
          <w:b w:val="0"/>
          <w:bCs w:val="0"/>
          <w:kern w:val="2"/>
          <w:sz w:val="44"/>
          <w:szCs w:val="44"/>
          <w:lang w:val="en-US" w:eastAsia="zh-CN"/>
        </w:rPr>
        <w:t>无机改性石墨聚苯颗粒保温板生产线项目</w:t>
      </w:r>
    </w:p>
    <w:p w14:paraId="1671365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val="0"/>
          <w:bCs w:val="0"/>
          <w:kern w:val="2"/>
          <w:sz w:val="44"/>
          <w:szCs w:val="44"/>
          <w:lang w:val="en-US" w:eastAsia="zh-CN"/>
        </w:rPr>
      </w:pPr>
      <w:r>
        <w:rPr>
          <w:rFonts w:hint="default" w:ascii="Times New Roman" w:hAnsi="Times New Roman" w:eastAsia="方正小标宋_GBK" w:cs="Times New Roman"/>
          <w:b w:val="0"/>
          <w:bCs w:val="0"/>
          <w:kern w:val="2"/>
          <w:sz w:val="44"/>
          <w:szCs w:val="44"/>
          <w:lang w:val="en-US" w:eastAsia="zh-CN"/>
        </w:rPr>
        <w:t>环境影响报告表》</w:t>
      </w:r>
      <w:r>
        <w:rPr>
          <w:rFonts w:hint="default" w:ascii="Times New Roman" w:hAnsi="Times New Roman" w:eastAsia="方正小标宋_GBK" w:cs="Times New Roman"/>
          <w:b w:val="0"/>
          <w:bCs w:val="0"/>
          <w:color w:val="000000"/>
          <w:sz w:val="44"/>
          <w:szCs w:val="44"/>
          <w:lang w:eastAsia="zh-CN"/>
        </w:rPr>
        <w:t>审批意见的函</w:t>
      </w:r>
    </w:p>
    <w:p w14:paraId="658C9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bidi="en-US"/>
        </w:rPr>
      </w:pPr>
    </w:p>
    <w:p w14:paraId="6858D34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spacing w:val="0"/>
          <w:kern w:val="2"/>
          <w:sz w:val="32"/>
          <w:szCs w:val="32"/>
          <w:lang w:bidi="en-US"/>
        </w:rPr>
      </w:pPr>
      <w:r>
        <w:rPr>
          <w:rFonts w:hint="default" w:ascii="Times New Roman" w:hAnsi="Times New Roman" w:eastAsia="仿宋_GB2312" w:cs="Times New Roman"/>
          <w:b w:val="0"/>
          <w:bCs/>
          <w:spacing w:val="0"/>
          <w:kern w:val="2"/>
          <w:sz w:val="32"/>
          <w:szCs w:val="32"/>
          <w:lang w:val="en-US" w:eastAsia="zh-CN" w:bidi="en-US"/>
        </w:rPr>
        <w:t>宁夏圣特保温材料有限公司</w:t>
      </w:r>
      <w:r>
        <w:rPr>
          <w:rFonts w:hint="default" w:ascii="Times New Roman" w:hAnsi="Times New Roman" w:eastAsia="仿宋_GB2312" w:cs="Times New Roman"/>
          <w:b w:val="0"/>
          <w:bCs/>
          <w:spacing w:val="0"/>
          <w:kern w:val="2"/>
          <w:sz w:val="32"/>
          <w:szCs w:val="32"/>
          <w:lang w:bidi="en-US"/>
        </w:rPr>
        <w:t>：</w:t>
      </w:r>
    </w:p>
    <w:p w14:paraId="07D20F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kern w:val="2"/>
          <w:sz w:val="32"/>
          <w:szCs w:val="32"/>
          <w:lang w:bidi="en-US"/>
        </w:rPr>
      </w:pPr>
      <w:r>
        <w:rPr>
          <w:rFonts w:hint="default" w:ascii="Times New Roman" w:hAnsi="Times New Roman" w:eastAsia="仿宋_GB2312" w:cs="Times New Roman"/>
          <w:b w:val="0"/>
          <w:bCs w:val="0"/>
          <w:color w:val="000000"/>
          <w:spacing w:val="0"/>
          <w:sz w:val="32"/>
          <w:szCs w:val="32"/>
          <w:lang w:bidi="en-US"/>
        </w:rPr>
        <w:t>你</w:t>
      </w:r>
      <w:r>
        <w:rPr>
          <w:rFonts w:hint="default" w:ascii="Times New Roman" w:hAnsi="Times New Roman" w:eastAsia="仿宋_GB2312" w:cs="Times New Roman"/>
          <w:b w:val="0"/>
          <w:bCs w:val="0"/>
          <w:color w:val="000000"/>
          <w:spacing w:val="0"/>
          <w:sz w:val="32"/>
          <w:szCs w:val="32"/>
          <w:lang w:val="en-US" w:eastAsia="zh-CN" w:bidi="en-US"/>
        </w:rPr>
        <w:t>单位</w:t>
      </w:r>
      <w:r>
        <w:rPr>
          <w:rFonts w:hint="default" w:ascii="Times New Roman" w:hAnsi="Times New Roman" w:eastAsia="仿宋_GB2312" w:cs="Times New Roman"/>
          <w:b w:val="0"/>
          <w:bCs w:val="0"/>
          <w:spacing w:val="0"/>
          <w:sz w:val="32"/>
          <w:szCs w:val="32"/>
        </w:rPr>
        <w:t>《关于申请审查、审批</w:t>
      </w:r>
      <w:r>
        <w:rPr>
          <w:rFonts w:hint="default" w:ascii="Times New Roman" w:hAnsi="Times New Roman" w:eastAsia="仿宋_GB2312" w:cs="Times New Roman"/>
          <w:b w:val="0"/>
          <w:bCs w:val="0"/>
          <w:spacing w:val="0"/>
          <w:kern w:val="2"/>
          <w:sz w:val="32"/>
          <w:szCs w:val="32"/>
          <w:lang w:val="en-US" w:eastAsia="zh-CN" w:bidi="en-US"/>
        </w:rPr>
        <w:t>模压无机改性石墨聚苯颗粒保温板生产线项目</w:t>
      </w:r>
      <w:r>
        <w:rPr>
          <w:rFonts w:hint="default" w:ascii="Times New Roman" w:hAnsi="Times New Roman" w:eastAsia="仿宋_GB2312" w:cs="Times New Roman"/>
          <w:b w:val="0"/>
          <w:bCs w:val="0"/>
          <w:color w:val="000000"/>
          <w:spacing w:val="0"/>
          <w:sz w:val="32"/>
          <w:szCs w:val="32"/>
          <w:lang w:eastAsia="zh-CN"/>
        </w:rPr>
        <w:t>环境影响报告表</w:t>
      </w:r>
      <w:r>
        <w:rPr>
          <w:rFonts w:hint="default" w:ascii="Times New Roman" w:hAnsi="Times New Roman" w:eastAsia="仿宋_GB2312" w:cs="Times New Roman"/>
          <w:b w:val="0"/>
          <w:bCs w:val="0"/>
          <w:color w:val="000000"/>
          <w:spacing w:val="0"/>
          <w:sz w:val="32"/>
          <w:szCs w:val="32"/>
          <w:lang w:val="en-US" w:eastAsia="zh-CN"/>
        </w:rPr>
        <w:t>的函</w:t>
      </w:r>
      <w:r>
        <w:rPr>
          <w:rFonts w:hint="default" w:ascii="Times New Roman" w:hAnsi="Times New Roman" w:eastAsia="仿宋_GB2312" w:cs="Times New Roman"/>
          <w:b w:val="0"/>
          <w:bCs w:val="0"/>
          <w:spacing w:val="0"/>
          <w:sz w:val="32"/>
          <w:szCs w:val="32"/>
        </w:rPr>
        <w:t>》收悉，</w:t>
      </w:r>
      <w:r>
        <w:rPr>
          <w:rFonts w:hint="default" w:ascii="Times New Roman" w:hAnsi="Times New Roman" w:eastAsia="仿宋_GB2312" w:cs="Times New Roman"/>
          <w:b w:val="0"/>
          <w:bCs w:val="0"/>
          <w:color w:val="auto"/>
          <w:spacing w:val="0"/>
          <w:sz w:val="32"/>
          <w:szCs w:val="32"/>
          <w:lang w:val="en-US" w:eastAsia="zh-CN" w:bidi="en-US"/>
        </w:rPr>
        <w:t>根据专家评审小组意见，经研究，现将有关审批意见函复如下。</w:t>
      </w:r>
    </w:p>
    <w:p w14:paraId="34EEC3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000000"/>
          <w:spacing w:val="0"/>
          <w:kern w:val="2"/>
          <w:sz w:val="32"/>
          <w:szCs w:val="32"/>
          <w:lang w:bidi="en-US"/>
        </w:rPr>
      </w:pPr>
      <w:r>
        <w:rPr>
          <w:rFonts w:hint="default" w:ascii="Times New Roman" w:hAnsi="Times New Roman" w:eastAsia="黑体" w:cs="Times New Roman"/>
          <w:b w:val="0"/>
          <w:bCs/>
          <w:color w:val="000000"/>
          <w:spacing w:val="0"/>
          <w:kern w:val="2"/>
          <w:sz w:val="32"/>
          <w:szCs w:val="32"/>
          <w:lang w:bidi="en-US"/>
        </w:rPr>
        <w:t>一、</w:t>
      </w:r>
      <w:r>
        <w:rPr>
          <w:rFonts w:hint="default" w:ascii="Times New Roman" w:hAnsi="Times New Roman" w:eastAsia="黑体" w:cs="Times New Roman"/>
          <w:b w:val="0"/>
          <w:bCs/>
          <w:color w:val="000000"/>
          <w:spacing w:val="0"/>
          <w:kern w:val="2"/>
          <w:sz w:val="32"/>
          <w:szCs w:val="32"/>
          <w:lang w:val="en-US" w:eastAsia="zh-CN" w:bidi="en-US"/>
        </w:rPr>
        <w:t>项目</w:t>
      </w:r>
      <w:r>
        <w:rPr>
          <w:rFonts w:hint="default" w:ascii="Times New Roman" w:hAnsi="Times New Roman" w:eastAsia="黑体" w:cs="Times New Roman"/>
          <w:b w:val="0"/>
          <w:bCs/>
          <w:color w:val="000000"/>
          <w:spacing w:val="0"/>
          <w:kern w:val="2"/>
          <w:sz w:val="32"/>
          <w:szCs w:val="32"/>
          <w:lang w:bidi="en-US"/>
        </w:rPr>
        <w:t>基本情况</w:t>
      </w:r>
    </w:p>
    <w:p w14:paraId="6E3F9A6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pacing w:val="0"/>
          <w:sz w:val="32"/>
          <w:szCs w:val="32"/>
          <w:lang w:bidi="en-US"/>
        </w:rPr>
      </w:pPr>
      <w:r>
        <w:rPr>
          <w:rFonts w:hint="default" w:ascii="Times New Roman" w:hAnsi="Times New Roman" w:eastAsia="仿宋_GB2312" w:cs="Times New Roman"/>
          <w:b w:val="0"/>
          <w:bCs/>
          <w:spacing w:val="0"/>
          <w:kern w:val="2"/>
          <w:sz w:val="32"/>
          <w:szCs w:val="32"/>
          <w:lang w:val="en-US" w:eastAsia="zh-CN" w:bidi="en-US"/>
        </w:rPr>
        <w:t>本项目</w:t>
      </w:r>
      <w:r>
        <w:rPr>
          <w:rFonts w:hint="default" w:ascii="Times New Roman" w:hAnsi="Times New Roman" w:eastAsia="仿宋_GB2312" w:cs="Times New Roman"/>
          <w:b w:val="0"/>
          <w:bCs/>
          <w:spacing w:val="0"/>
          <w:kern w:val="2"/>
          <w:sz w:val="32"/>
          <w:szCs w:val="32"/>
          <w:lang w:val="zh-CN" w:eastAsia="zh-CN" w:bidi="en-US"/>
        </w:rPr>
        <w:t>位于</w:t>
      </w:r>
      <w:r>
        <w:rPr>
          <w:rFonts w:hint="default" w:ascii="Times New Roman" w:hAnsi="Times New Roman" w:eastAsia="仿宋_GB2312" w:cs="Times New Roman"/>
          <w:b w:val="0"/>
          <w:bCs/>
          <w:spacing w:val="0"/>
          <w:kern w:val="2"/>
          <w:sz w:val="32"/>
          <w:szCs w:val="32"/>
          <w:lang w:val="en-US" w:eastAsia="zh-CN" w:bidi="en-US"/>
        </w:rPr>
        <w:t>海原县海城镇</w:t>
      </w:r>
      <w:r>
        <w:rPr>
          <w:rFonts w:hint="default" w:ascii="Times New Roman" w:hAnsi="Times New Roman" w:eastAsia="仿宋_GB2312" w:cs="Times New Roman"/>
          <w:b w:val="0"/>
          <w:bCs/>
          <w:spacing w:val="0"/>
          <w:kern w:val="2"/>
          <w:sz w:val="32"/>
          <w:szCs w:val="32"/>
          <w:lang w:val="zh-CN" w:eastAsia="zh-CN" w:bidi="en-US"/>
        </w:rPr>
        <w:t>，中心点坐标为东经105°37′13.143″，北纬36°33′17.462″，</w:t>
      </w:r>
      <w:r>
        <w:rPr>
          <w:rFonts w:hint="default" w:ascii="Times New Roman" w:hAnsi="Times New Roman" w:eastAsia="仿宋_GB2312" w:cs="Times New Roman"/>
          <w:b w:val="0"/>
          <w:bCs/>
          <w:spacing w:val="0"/>
          <w:kern w:val="2"/>
          <w:sz w:val="32"/>
          <w:szCs w:val="32"/>
          <w:lang w:val="en-US" w:eastAsia="zh-CN" w:bidi="en-US"/>
        </w:rPr>
        <w:t>主要建设内容为：在现有厂房内新增一条年产10万m</w:t>
      </w:r>
      <w:r>
        <w:rPr>
          <w:rFonts w:hint="default" w:ascii="Times New Roman" w:hAnsi="Times New Roman" w:eastAsia="仿宋_GB2312" w:cs="Times New Roman"/>
          <w:b w:val="0"/>
          <w:bCs/>
          <w:spacing w:val="0"/>
          <w:kern w:val="2"/>
          <w:sz w:val="32"/>
          <w:szCs w:val="32"/>
          <w:vertAlign w:val="superscript"/>
          <w:lang w:val="en-US" w:eastAsia="zh-CN" w:bidi="en-US"/>
        </w:rPr>
        <w:t>3</w:t>
      </w:r>
      <w:r>
        <w:rPr>
          <w:rFonts w:hint="default" w:ascii="Times New Roman" w:hAnsi="Times New Roman" w:eastAsia="仿宋_GB2312" w:cs="Times New Roman"/>
          <w:b w:val="0"/>
          <w:bCs/>
          <w:spacing w:val="0"/>
          <w:kern w:val="2"/>
          <w:sz w:val="32"/>
          <w:szCs w:val="32"/>
          <w:lang w:val="en-US" w:eastAsia="zh-CN" w:bidi="en-US"/>
        </w:rPr>
        <w:t>模压无机改性石墨聚苯颗粒保温板生产线。项目总投资650万元，其中环保投资25万元，环保投资主要用于施工期和运营期的废气、废水、噪声治理及固体废物治理等。</w:t>
      </w:r>
    </w:p>
    <w:p w14:paraId="5825B6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pacing w:val="0"/>
          <w:kern w:val="2"/>
          <w:sz w:val="32"/>
          <w:szCs w:val="32"/>
          <w:lang w:val="en-US" w:eastAsia="zh-CN" w:bidi="en-US"/>
        </w:rPr>
      </w:pPr>
      <w:r>
        <w:rPr>
          <w:rFonts w:hint="default" w:ascii="Times New Roman" w:hAnsi="Times New Roman" w:eastAsia="仿宋_GB2312" w:cs="Times New Roman"/>
          <w:b w:val="0"/>
          <w:bCs/>
          <w:spacing w:val="0"/>
          <w:kern w:val="2"/>
          <w:sz w:val="32"/>
          <w:szCs w:val="32"/>
          <w:lang w:val="en-US" w:eastAsia="zh-CN" w:bidi="en-US"/>
        </w:rPr>
        <w:t>根据《产业结构调整指导目录（2024年本）》，本项目属于“允许类”中的C3034隔热和隔音材料制造。经评估审查，该项目建设符合国家、自治区相关政策规划，在落实《模压无机改性石墨聚苯颗粒保温板生产线项目环境影响报告表》（以下简称《报告表》）提出的各项污染防治措施的基础上，</w:t>
      </w:r>
      <w:r>
        <w:rPr>
          <w:rFonts w:hint="eastAsia" w:eastAsia="仿宋_GB2312" w:cs="Times New Roman"/>
          <w:b w:val="0"/>
          <w:bCs/>
          <w:spacing w:val="0"/>
          <w:kern w:val="2"/>
          <w:sz w:val="32"/>
          <w:szCs w:val="32"/>
          <w:lang w:val="en-US" w:eastAsia="zh-CN" w:bidi="en-US"/>
        </w:rPr>
        <w:t>从环境角度</w:t>
      </w:r>
      <w:r>
        <w:rPr>
          <w:rFonts w:hint="default" w:ascii="Times New Roman" w:hAnsi="Times New Roman" w:eastAsia="仿宋_GB2312" w:cs="Times New Roman"/>
          <w:b w:val="0"/>
          <w:bCs/>
          <w:spacing w:val="0"/>
          <w:kern w:val="2"/>
          <w:sz w:val="32"/>
          <w:szCs w:val="32"/>
          <w:lang w:val="en-US" w:eastAsia="zh-CN" w:bidi="en-US"/>
        </w:rPr>
        <w:t>同意你单位按照《报告表》中所列建设项目的性质、规模、地点、环境保护对策措施等进行项目建设。</w:t>
      </w:r>
    </w:p>
    <w:p w14:paraId="0F0BB72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spacing w:val="0"/>
          <w:kern w:val="2"/>
          <w:sz w:val="32"/>
          <w:szCs w:val="32"/>
          <w:lang w:bidi="en-US"/>
        </w:rPr>
      </w:pPr>
      <w:r>
        <w:rPr>
          <w:rFonts w:hint="default" w:ascii="Times New Roman" w:hAnsi="Times New Roman" w:eastAsia="黑体" w:cs="Times New Roman"/>
          <w:b w:val="0"/>
          <w:bCs w:val="0"/>
          <w:spacing w:val="0"/>
          <w:kern w:val="2"/>
          <w:sz w:val="32"/>
          <w:szCs w:val="32"/>
          <w:lang w:bidi="en-US"/>
        </w:rPr>
        <w:t>项目建设环境影响控制主要措施</w:t>
      </w:r>
    </w:p>
    <w:p w14:paraId="7D84A844">
      <w:pPr>
        <w:keepNext w:val="0"/>
        <w:keepLines w:val="0"/>
        <w:pageBreakBefore w:val="0"/>
        <w:kinsoku/>
        <w:wordWrap/>
        <w:overflowPunct/>
        <w:topLinePunct w:val="0"/>
        <w:autoSpaceDE/>
        <w:autoSpaceDN/>
        <w:bidi w:val="0"/>
        <w:spacing w:line="580" w:lineRule="exact"/>
        <w:ind w:firstLine="643" w:firstLineChars="200"/>
        <w:rPr>
          <w:rFonts w:hint="default" w:ascii="Times New Roman" w:hAnsi="Times New Roman" w:eastAsia="楷体" w:cs="Times New Roman"/>
          <w:b/>
          <w:bCs/>
          <w:spacing w:val="0"/>
          <w:kern w:val="2"/>
          <w:sz w:val="32"/>
          <w:szCs w:val="32"/>
          <w:lang w:bidi="en-US"/>
        </w:rPr>
      </w:pPr>
      <w:r>
        <w:rPr>
          <w:rFonts w:hint="default" w:ascii="Times New Roman" w:hAnsi="Times New Roman" w:eastAsia="楷体" w:cs="Times New Roman"/>
          <w:b/>
          <w:bCs/>
          <w:spacing w:val="0"/>
          <w:kern w:val="2"/>
          <w:sz w:val="32"/>
          <w:szCs w:val="32"/>
          <w:lang w:bidi="en-US"/>
        </w:rPr>
        <w:t>（一）</w:t>
      </w:r>
      <w:r>
        <w:rPr>
          <w:rFonts w:hint="default" w:ascii="Times New Roman" w:hAnsi="Times New Roman" w:eastAsia="楷体" w:cs="Times New Roman"/>
          <w:b/>
          <w:bCs/>
          <w:spacing w:val="0"/>
          <w:sz w:val="32"/>
          <w:szCs w:val="32"/>
          <w:lang w:bidi="en-US"/>
        </w:rPr>
        <w:t>严格落实《报告表》提出的废气防治措施。</w:t>
      </w:r>
    </w:p>
    <w:p w14:paraId="38BFDF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pacing w:val="0"/>
          <w:kern w:val="2"/>
          <w:sz w:val="32"/>
          <w:szCs w:val="32"/>
          <w:lang w:val="en-US" w:eastAsia="zh-CN" w:bidi="en-US"/>
        </w:rPr>
      </w:pPr>
      <w:r>
        <w:rPr>
          <w:rFonts w:hint="eastAsia" w:eastAsia="仿宋_GB2312" w:cs="Times New Roman"/>
          <w:b w:val="0"/>
          <w:bCs/>
          <w:spacing w:val="0"/>
          <w:kern w:val="2"/>
          <w:sz w:val="32"/>
          <w:szCs w:val="32"/>
          <w:lang w:val="en-US" w:eastAsia="zh-CN" w:bidi="en-US"/>
        </w:rPr>
        <w:t>废气主要为</w:t>
      </w:r>
      <w:r>
        <w:rPr>
          <w:rFonts w:hint="default" w:ascii="Times New Roman" w:hAnsi="Times New Roman" w:eastAsia="仿宋_GB2312" w:cs="Times New Roman"/>
          <w:b w:val="0"/>
          <w:bCs/>
          <w:spacing w:val="0"/>
          <w:kern w:val="2"/>
          <w:sz w:val="32"/>
          <w:szCs w:val="32"/>
          <w:lang w:val="en-US" w:eastAsia="zh-CN" w:bidi="en-US"/>
        </w:rPr>
        <w:t>搅拌及切割产生的废气</w:t>
      </w:r>
      <w:r>
        <w:rPr>
          <w:rFonts w:hint="eastAsia" w:eastAsia="仿宋_GB2312" w:cs="Times New Roman"/>
          <w:b w:val="0"/>
          <w:bCs/>
          <w:spacing w:val="0"/>
          <w:kern w:val="2"/>
          <w:sz w:val="32"/>
          <w:szCs w:val="32"/>
          <w:lang w:val="en-US" w:eastAsia="zh-CN" w:bidi="en-US"/>
        </w:rPr>
        <w:t>和</w:t>
      </w:r>
      <w:r>
        <w:rPr>
          <w:rFonts w:hint="default" w:ascii="Times New Roman" w:hAnsi="Times New Roman" w:eastAsia="仿宋_GB2312" w:cs="Times New Roman"/>
          <w:b w:val="0"/>
          <w:bCs/>
          <w:spacing w:val="0"/>
          <w:kern w:val="2"/>
          <w:sz w:val="32"/>
          <w:szCs w:val="32"/>
          <w:lang w:val="en-US" w:eastAsia="zh-CN" w:bidi="en-US"/>
        </w:rPr>
        <w:t>水泥筒仓粉尘</w:t>
      </w:r>
      <w:r>
        <w:rPr>
          <w:rFonts w:hint="eastAsia" w:eastAsia="仿宋_GB2312" w:cs="Times New Roman"/>
          <w:b w:val="0"/>
          <w:bCs/>
          <w:spacing w:val="0"/>
          <w:kern w:val="2"/>
          <w:sz w:val="32"/>
          <w:szCs w:val="32"/>
          <w:lang w:val="en-US" w:eastAsia="zh-CN" w:bidi="en-US"/>
        </w:rPr>
        <w:t>。</w:t>
      </w:r>
      <w:r>
        <w:rPr>
          <w:rFonts w:hint="default" w:ascii="Times New Roman" w:hAnsi="Times New Roman" w:eastAsia="仿宋_GB2312" w:cs="Times New Roman"/>
          <w:b w:val="0"/>
          <w:bCs/>
          <w:spacing w:val="0"/>
          <w:kern w:val="2"/>
          <w:sz w:val="32"/>
          <w:szCs w:val="32"/>
          <w:lang w:val="en-US" w:eastAsia="zh-CN" w:bidi="en-US"/>
        </w:rPr>
        <w:t>搅拌及切割产生的废气经收集后通过引风机引至脉冲式布袋除尘器处理后通过1根15m高DA005排气筒排放；水泥筒仓粉尘经仓顶自带脉冲式布袋除尘器处理后排放；</w:t>
      </w:r>
      <w:r>
        <w:rPr>
          <w:rFonts w:hint="eastAsia" w:ascii="Times New Roman" w:hAnsi="Times New Roman" w:eastAsia="仿宋_GB2312" w:cs="Times New Roman"/>
          <w:b w:val="0"/>
          <w:bCs/>
          <w:spacing w:val="0"/>
          <w:kern w:val="2"/>
          <w:sz w:val="32"/>
          <w:szCs w:val="32"/>
          <w:lang w:val="en-US" w:eastAsia="zh-CN" w:bidi="en-US"/>
        </w:rPr>
        <w:t>上料</w:t>
      </w:r>
      <w:r>
        <w:rPr>
          <w:rFonts w:hint="default" w:ascii="Times New Roman" w:hAnsi="Times New Roman" w:eastAsia="仿宋_GB2312" w:cs="Times New Roman"/>
          <w:b w:val="0"/>
          <w:bCs/>
          <w:spacing w:val="0"/>
          <w:kern w:val="2"/>
          <w:sz w:val="32"/>
          <w:szCs w:val="32"/>
          <w:lang w:val="en-US" w:eastAsia="zh-CN" w:bidi="en-US"/>
        </w:rPr>
        <w:t>过程在密闭车间进行，在进料口设置三面一帘的封闭结构，排放浓度满足《水泥工业大气污染物排放标准》（DB64/1995-2024）排放限值要求。</w:t>
      </w:r>
    </w:p>
    <w:p w14:paraId="1795B964">
      <w:pPr>
        <w:keepNext w:val="0"/>
        <w:keepLines w:val="0"/>
        <w:pageBreakBefore w:val="0"/>
        <w:kinsoku/>
        <w:wordWrap/>
        <w:overflowPunct/>
        <w:topLinePunct w:val="0"/>
        <w:autoSpaceDE/>
        <w:autoSpaceDN/>
        <w:bidi w:val="0"/>
        <w:spacing w:line="580" w:lineRule="exact"/>
        <w:ind w:firstLine="643" w:firstLineChars="200"/>
        <w:rPr>
          <w:rFonts w:hint="default" w:ascii="Times New Roman" w:hAnsi="Times New Roman" w:eastAsia="楷体" w:cs="Times New Roman"/>
          <w:b/>
          <w:bCs/>
          <w:spacing w:val="0"/>
          <w:sz w:val="32"/>
          <w:szCs w:val="32"/>
          <w:lang w:bidi="en-US"/>
        </w:rPr>
      </w:pPr>
      <w:r>
        <w:rPr>
          <w:rFonts w:hint="default" w:ascii="Times New Roman" w:hAnsi="Times New Roman" w:eastAsia="楷体" w:cs="Times New Roman"/>
          <w:b/>
          <w:bCs/>
          <w:spacing w:val="0"/>
          <w:sz w:val="32"/>
          <w:szCs w:val="32"/>
          <w:lang w:eastAsia="zh-CN" w:bidi="en-US"/>
        </w:rPr>
        <w:t>（</w:t>
      </w:r>
      <w:r>
        <w:rPr>
          <w:rFonts w:hint="default" w:ascii="Times New Roman" w:hAnsi="Times New Roman" w:eastAsia="楷体" w:cs="Times New Roman"/>
          <w:b/>
          <w:bCs/>
          <w:spacing w:val="0"/>
          <w:sz w:val="32"/>
          <w:szCs w:val="32"/>
          <w:lang w:val="en-US" w:eastAsia="zh-CN" w:bidi="en-US"/>
        </w:rPr>
        <w:t>二</w:t>
      </w:r>
      <w:r>
        <w:rPr>
          <w:rFonts w:hint="default" w:ascii="Times New Roman" w:hAnsi="Times New Roman" w:eastAsia="楷体" w:cs="Times New Roman"/>
          <w:b/>
          <w:bCs/>
          <w:spacing w:val="0"/>
          <w:sz w:val="32"/>
          <w:szCs w:val="32"/>
          <w:lang w:eastAsia="zh-CN" w:bidi="en-US"/>
        </w:rPr>
        <w:t>）严格</w:t>
      </w:r>
      <w:r>
        <w:rPr>
          <w:rFonts w:hint="default" w:ascii="Times New Roman" w:hAnsi="Times New Roman" w:eastAsia="楷体" w:cs="Times New Roman"/>
          <w:b/>
          <w:bCs/>
          <w:spacing w:val="0"/>
          <w:sz w:val="32"/>
          <w:szCs w:val="32"/>
          <w:lang w:bidi="en-US"/>
        </w:rPr>
        <w:t>落实《报告表》提出的废水防治措施。</w:t>
      </w:r>
    </w:p>
    <w:p w14:paraId="7C8DB674">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仿宋_GB2312" w:cs="Times New Roman"/>
          <w:b w:val="0"/>
          <w:bCs/>
          <w:kern w:val="2"/>
          <w:sz w:val="32"/>
          <w:szCs w:val="32"/>
          <w:lang w:val="en-US" w:eastAsia="zh-CN" w:bidi="en-US"/>
        </w:rPr>
      </w:pPr>
      <w:r>
        <w:rPr>
          <w:rFonts w:hint="eastAsia" w:eastAsia="仿宋_GB2312" w:cs="Times New Roman"/>
          <w:b w:val="0"/>
          <w:bCs/>
          <w:kern w:val="2"/>
          <w:sz w:val="32"/>
          <w:szCs w:val="32"/>
          <w:lang w:val="en-US" w:eastAsia="zh-CN" w:bidi="en-US"/>
        </w:rPr>
        <w:t>废水主要为</w:t>
      </w:r>
      <w:r>
        <w:rPr>
          <w:rFonts w:hint="default" w:ascii="Times New Roman" w:hAnsi="Times New Roman" w:eastAsia="仿宋_GB2312" w:cs="Times New Roman"/>
          <w:b w:val="0"/>
          <w:bCs/>
          <w:kern w:val="2"/>
          <w:sz w:val="32"/>
          <w:szCs w:val="32"/>
          <w:lang w:val="en-US" w:eastAsia="zh-CN" w:bidi="en-US"/>
        </w:rPr>
        <w:t>洗罐废水</w:t>
      </w:r>
      <w:r>
        <w:rPr>
          <w:rFonts w:hint="eastAsia" w:eastAsia="仿宋_GB2312" w:cs="Times New Roman"/>
          <w:b w:val="0"/>
          <w:bCs/>
          <w:kern w:val="2"/>
          <w:sz w:val="32"/>
          <w:szCs w:val="32"/>
          <w:lang w:val="en-US" w:eastAsia="zh-CN" w:bidi="en-US"/>
        </w:rPr>
        <w:t>和生活污水。洗罐废水</w:t>
      </w:r>
      <w:r>
        <w:rPr>
          <w:rFonts w:hint="default" w:ascii="Times New Roman" w:hAnsi="Times New Roman" w:eastAsia="仿宋_GB2312" w:cs="Times New Roman"/>
          <w:b w:val="0"/>
          <w:bCs/>
          <w:kern w:val="2"/>
          <w:sz w:val="32"/>
          <w:szCs w:val="32"/>
          <w:lang w:val="en-US" w:eastAsia="zh-CN" w:bidi="en-US"/>
        </w:rPr>
        <w:t>经沉淀池沉淀后回用；生活污水经厂区化粪池处理后进入海原县第二污水处理厂处理。</w:t>
      </w:r>
    </w:p>
    <w:p w14:paraId="165B42F4">
      <w:pPr>
        <w:keepNext w:val="0"/>
        <w:keepLines w:val="0"/>
        <w:pageBreakBefore w:val="0"/>
        <w:kinsoku/>
        <w:wordWrap/>
        <w:overflowPunct/>
        <w:topLinePunct w:val="0"/>
        <w:autoSpaceDE/>
        <w:autoSpaceDN/>
        <w:bidi w:val="0"/>
        <w:spacing w:line="580" w:lineRule="exact"/>
        <w:ind w:firstLine="643" w:firstLineChars="200"/>
        <w:rPr>
          <w:rFonts w:hint="default" w:ascii="Times New Roman" w:hAnsi="Times New Roman" w:eastAsia="楷体" w:cs="Times New Roman"/>
          <w:b/>
          <w:bCs/>
          <w:spacing w:val="0"/>
          <w:sz w:val="32"/>
          <w:szCs w:val="32"/>
          <w:lang w:bidi="en-US"/>
        </w:rPr>
      </w:pPr>
      <w:r>
        <w:rPr>
          <w:rFonts w:hint="default" w:ascii="Times New Roman" w:hAnsi="Times New Roman" w:eastAsia="楷体" w:cs="Times New Roman"/>
          <w:b/>
          <w:bCs/>
          <w:spacing w:val="0"/>
          <w:sz w:val="32"/>
          <w:szCs w:val="32"/>
          <w:lang w:eastAsia="zh-CN" w:bidi="en-US"/>
        </w:rPr>
        <w:t>（</w:t>
      </w:r>
      <w:r>
        <w:rPr>
          <w:rFonts w:hint="default" w:ascii="Times New Roman" w:hAnsi="Times New Roman" w:eastAsia="楷体" w:cs="Times New Roman"/>
          <w:b/>
          <w:bCs/>
          <w:spacing w:val="0"/>
          <w:sz w:val="32"/>
          <w:szCs w:val="32"/>
          <w:lang w:val="en-US" w:eastAsia="zh-CN" w:bidi="en-US"/>
        </w:rPr>
        <w:t>三</w:t>
      </w:r>
      <w:r>
        <w:rPr>
          <w:rFonts w:hint="default" w:ascii="Times New Roman" w:hAnsi="Times New Roman" w:eastAsia="楷体" w:cs="Times New Roman"/>
          <w:b/>
          <w:bCs/>
          <w:spacing w:val="0"/>
          <w:sz w:val="32"/>
          <w:szCs w:val="32"/>
          <w:lang w:eastAsia="zh-CN" w:bidi="en-US"/>
        </w:rPr>
        <w:t>）严格</w:t>
      </w:r>
      <w:r>
        <w:rPr>
          <w:rFonts w:hint="default" w:ascii="Times New Roman" w:hAnsi="Times New Roman" w:eastAsia="楷体" w:cs="Times New Roman"/>
          <w:b/>
          <w:bCs/>
          <w:spacing w:val="0"/>
          <w:sz w:val="32"/>
          <w:szCs w:val="32"/>
          <w:lang w:bidi="en-US"/>
        </w:rPr>
        <w:t>落实《报告表》提出的固废防治措施。</w:t>
      </w:r>
    </w:p>
    <w:p w14:paraId="0C0101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kern w:val="2"/>
          <w:sz w:val="32"/>
          <w:szCs w:val="32"/>
          <w:lang w:val="en-US" w:eastAsia="zh-CN" w:bidi="en-US"/>
        </w:rPr>
      </w:pPr>
      <w:r>
        <w:rPr>
          <w:rFonts w:hint="eastAsia" w:eastAsia="仿宋_GB2312" w:cs="Times New Roman"/>
          <w:b w:val="0"/>
          <w:bCs/>
          <w:kern w:val="2"/>
          <w:sz w:val="32"/>
          <w:szCs w:val="32"/>
          <w:lang w:val="en-US" w:eastAsia="zh-CN" w:bidi="en-US"/>
        </w:rPr>
        <w:t>固废主要为</w:t>
      </w:r>
      <w:r>
        <w:rPr>
          <w:rFonts w:hint="default" w:ascii="Times New Roman" w:hAnsi="Times New Roman" w:eastAsia="仿宋_GB2312" w:cs="Times New Roman"/>
          <w:b w:val="0"/>
          <w:bCs/>
          <w:kern w:val="2"/>
          <w:sz w:val="32"/>
          <w:szCs w:val="32"/>
          <w:lang w:val="en-US" w:eastAsia="zh-CN" w:bidi="en-US"/>
        </w:rPr>
        <w:t>废包装物</w:t>
      </w:r>
      <w:r>
        <w:rPr>
          <w:rFonts w:hint="eastAsia" w:eastAsia="仿宋_GB2312" w:cs="Times New Roman"/>
          <w:b w:val="0"/>
          <w:bCs/>
          <w:kern w:val="2"/>
          <w:sz w:val="32"/>
          <w:szCs w:val="32"/>
          <w:lang w:val="en-US" w:eastAsia="zh-CN" w:bidi="en-US"/>
        </w:rPr>
        <w:t>、</w:t>
      </w:r>
      <w:r>
        <w:rPr>
          <w:rFonts w:hint="default" w:ascii="Times New Roman" w:hAnsi="Times New Roman" w:eastAsia="仿宋_GB2312" w:cs="Times New Roman"/>
          <w:b w:val="0"/>
          <w:bCs/>
          <w:spacing w:val="0"/>
          <w:kern w:val="2"/>
          <w:sz w:val="32"/>
          <w:szCs w:val="32"/>
          <w:lang w:val="en-US" w:eastAsia="zh-CN" w:bidi="en-US"/>
        </w:rPr>
        <w:t>废边角料</w:t>
      </w:r>
      <w:r>
        <w:rPr>
          <w:rFonts w:hint="eastAsia" w:eastAsia="仿宋_GB2312" w:cs="Times New Roman"/>
          <w:b w:val="0"/>
          <w:bCs/>
          <w:spacing w:val="0"/>
          <w:kern w:val="2"/>
          <w:sz w:val="32"/>
          <w:szCs w:val="32"/>
          <w:lang w:val="en-US" w:eastAsia="zh-CN" w:bidi="en-US"/>
        </w:rPr>
        <w:t>、</w:t>
      </w:r>
      <w:r>
        <w:rPr>
          <w:rFonts w:hint="default" w:ascii="Times New Roman" w:hAnsi="Times New Roman" w:eastAsia="仿宋_GB2312" w:cs="Times New Roman"/>
          <w:b w:val="0"/>
          <w:bCs/>
          <w:spacing w:val="0"/>
          <w:kern w:val="2"/>
          <w:sz w:val="32"/>
          <w:szCs w:val="32"/>
          <w:lang w:val="en-US" w:eastAsia="zh-CN" w:bidi="en-US"/>
        </w:rPr>
        <w:t>废布袋</w:t>
      </w:r>
      <w:r>
        <w:rPr>
          <w:rFonts w:hint="eastAsia" w:eastAsia="仿宋_GB2312" w:cs="Times New Roman"/>
          <w:b w:val="0"/>
          <w:bCs/>
          <w:spacing w:val="0"/>
          <w:kern w:val="2"/>
          <w:sz w:val="32"/>
          <w:szCs w:val="32"/>
          <w:lang w:val="en-US" w:eastAsia="zh-CN" w:bidi="en-US"/>
        </w:rPr>
        <w:t>、</w:t>
      </w:r>
      <w:r>
        <w:rPr>
          <w:rFonts w:hint="eastAsia" w:eastAsia="仿宋_GB2312" w:cs="Times New Roman"/>
          <w:b w:val="0"/>
          <w:bCs/>
          <w:kern w:val="2"/>
          <w:sz w:val="32"/>
          <w:szCs w:val="32"/>
          <w:lang w:val="en-US" w:eastAsia="zh-CN" w:bidi="en-US"/>
        </w:rPr>
        <w:t>生活垃圾和</w:t>
      </w:r>
      <w:r>
        <w:rPr>
          <w:rFonts w:hint="default" w:ascii="Times New Roman" w:hAnsi="Times New Roman" w:eastAsia="仿宋_GB2312" w:cs="Times New Roman"/>
          <w:b w:val="0"/>
          <w:bCs/>
          <w:spacing w:val="0"/>
          <w:kern w:val="2"/>
          <w:sz w:val="32"/>
          <w:szCs w:val="32"/>
          <w:lang w:val="en-US" w:eastAsia="zh-CN" w:bidi="en-US"/>
        </w:rPr>
        <w:t>沉淀池沉渣</w:t>
      </w:r>
      <w:r>
        <w:rPr>
          <w:rFonts w:hint="eastAsia" w:eastAsia="仿宋_GB2312" w:cs="Times New Roman"/>
          <w:b w:val="0"/>
          <w:bCs/>
          <w:kern w:val="2"/>
          <w:sz w:val="32"/>
          <w:szCs w:val="32"/>
          <w:lang w:val="en-US" w:eastAsia="zh-CN" w:bidi="en-US"/>
        </w:rPr>
        <w:t>。</w:t>
      </w:r>
      <w:r>
        <w:rPr>
          <w:rFonts w:hint="default" w:ascii="Times New Roman" w:hAnsi="Times New Roman" w:eastAsia="仿宋_GB2312" w:cs="Times New Roman"/>
          <w:b w:val="0"/>
          <w:bCs/>
          <w:kern w:val="2"/>
          <w:sz w:val="32"/>
          <w:szCs w:val="32"/>
          <w:lang w:val="en-US" w:eastAsia="zh-CN" w:bidi="en-US"/>
        </w:rPr>
        <w:t>废包装物集中收集外售处理；</w:t>
      </w:r>
      <w:r>
        <w:rPr>
          <w:rFonts w:hint="default" w:ascii="Times New Roman" w:hAnsi="Times New Roman" w:eastAsia="仿宋_GB2312" w:cs="Times New Roman"/>
          <w:b w:val="0"/>
          <w:bCs/>
          <w:spacing w:val="0"/>
          <w:kern w:val="2"/>
          <w:sz w:val="32"/>
          <w:szCs w:val="32"/>
          <w:lang w:val="en-US" w:eastAsia="zh-CN" w:bidi="en-US"/>
        </w:rPr>
        <w:t>废边角料收集后回用于生产；废布袋</w:t>
      </w:r>
      <w:r>
        <w:rPr>
          <w:rFonts w:hint="eastAsia" w:eastAsia="仿宋_GB2312" w:cs="Times New Roman"/>
          <w:b w:val="0"/>
          <w:bCs/>
          <w:spacing w:val="0"/>
          <w:kern w:val="2"/>
          <w:sz w:val="32"/>
          <w:szCs w:val="32"/>
          <w:lang w:val="en-US" w:eastAsia="zh-CN" w:bidi="en-US"/>
        </w:rPr>
        <w:t>和</w:t>
      </w:r>
      <w:r>
        <w:rPr>
          <w:rFonts w:hint="default" w:ascii="Times New Roman" w:hAnsi="Times New Roman" w:eastAsia="仿宋_GB2312" w:cs="Times New Roman"/>
          <w:b w:val="0"/>
          <w:bCs/>
          <w:kern w:val="2"/>
          <w:sz w:val="32"/>
          <w:szCs w:val="32"/>
          <w:lang w:val="en-US" w:eastAsia="zh-CN" w:bidi="en-US"/>
        </w:rPr>
        <w:t>生活垃圾集中收集后由环卫部门统一处理</w:t>
      </w:r>
      <w:r>
        <w:rPr>
          <w:rFonts w:hint="eastAsia" w:eastAsia="仿宋_GB2312" w:cs="Times New Roman"/>
          <w:b w:val="0"/>
          <w:bCs/>
          <w:kern w:val="2"/>
          <w:sz w:val="32"/>
          <w:szCs w:val="32"/>
          <w:lang w:val="en-US" w:eastAsia="zh-CN" w:bidi="en-US"/>
        </w:rPr>
        <w:t>；</w:t>
      </w:r>
      <w:r>
        <w:rPr>
          <w:rFonts w:hint="default" w:ascii="Times New Roman" w:hAnsi="Times New Roman" w:eastAsia="仿宋_GB2312" w:cs="Times New Roman"/>
          <w:b w:val="0"/>
          <w:bCs/>
          <w:spacing w:val="0"/>
          <w:kern w:val="2"/>
          <w:sz w:val="32"/>
          <w:szCs w:val="32"/>
          <w:lang w:val="en-US" w:eastAsia="zh-CN" w:bidi="en-US"/>
        </w:rPr>
        <w:t>沉淀池沉渣收集后用于生产</w:t>
      </w:r>
      <w:r>
        <w:rPr>
          <w:rFonts w:hint="default" w:ascii="Times New Roman" w:hAnsi="Times New Roman" w:eastAsia="仿宋_GB2312" w:cs="Times New Roman"/>
          <w:b w:val="0"/>
          <w:bCs/>
          <w:kern w:val="2"/>
          <w:sz w:val="32"/>
          <w:szCs w:val="32"/>
          <w:lang w:val="en-US" w:eastAsia="zh-CN" w:bidi="en-US"/>
        </w:rPr>
        <w:t>。</w:t>
      </w:r>
    </w:p>
    <w:p w14:paraId="0C626B7F">
      <w:pPr>
        <w:keepNext w:val="0"/>
        <w:keepLines w:val="0"/>
        <w:pageBreakBefore w:val="0"/>
        <w:kinsoku/>
        <w:wordWrap/>
        <w:overflowPunct/>
        <w:topLinePunct w:val="0"/>
        <w:autoSpaceDE/>
        <w:autoSpaceDN/>
        <w:bidi w:val="0"/>
        <w:spacing w:line="580" w:lineRule="exact"/>
        <w:ind w:firstLine="643" w:firstLineChars="200"/>
        <w:rPr>
          <w:rFonts w:hint="default" w:ascii="Times New Roman" w:hAnsi="Times New Roman" w:eastAsia="楷体" w:cs="Times New Roman"/>
          <w:b/>
          <w:bCs/>
          <w:spacing w:val="0"/>
          <w:sz w:val="32"/>
          <w:szCs w:val="32"/>
          <w:lang w:bidi="en-US"/>
        </w:rPr>
      </w:pPr>
      <w:r>
        <w:rPr>
          <w:rFonts w:hint="default" w:ascii="Times New Roman" w:hAnsi="Times New Roman" w:eastAsia="楷体" w:cs="Times New Roman"/>
          <w:b/>
          <w:bCs/>
          <w:spacing w:val="0"/>
          <w:sz w:val="32"/>
          <w:szCs w:val="32"/>
          <w:lang w:eastAsia="zh-CN" w:bidi="en-US"/>
        </w:rPr>
        <w:t>（</w:t>
      </w:r>
      <w:r>
        <w:rPr>
          <w:rFonts w:hint="default" w:ascii="Times New Roman" w:hAnsi="Times New Roman" w:eastAsia="楷体" w:cs="Times New Roman"/>
          <w:b/>
          <w:bCs/>
          <w:spacing w:val="0"/>
          <w:sz w:val="32"/>
          <w:szCs w:val="32"/>
          <w:lang w:val="en-US" w:eastAsia="zh-CN" w:bidi="en-US"/>
        </w:rPr>
        <w:t>四</w:t>
      </w:r>
      <w:r>
        <w:rPr>
          <w:rFonts w:hint="default" w:ascii="Times New Roman" w:hAnsi="Times New Roman" w:eastAsia="楷体" w:cs="Times New Roman"/>
          <w:b/>
          <w:bCs/>
          <w:spacing w:val="0"/>
          <w:sz w:val="32"/>
          <w:szCs w:val="32"/>
          <w:lang w:eastAsia="zh-CN" w:bidi="en-US"/>
        </w:rPr>
        <w:t>）</w:t>
      </w:r>
      <w:r>
        <w:rPr>
          <w:rFonts w:hint="default" w:ascii="Times New Roman" w:hAnsi="Times New Roman" w:eastAsia="楷体" w:cs="Times New Roman"/>
          <w:b/>
          <w:bCs/>
          <w:spacing w:val="0"/>
          <w:sz w:val="32"/>
          <w:szCs w:val="32"/>
          <w:lang w:bidi="en-US"/>
        </w:rPr>
        <w:t>严格落实《报告表》提出的噪声防治措施。</w:t>
      </w:r>
    </w:p>
    <w:p w14:paraId="76FE7F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pacing w:val="0"/>
          <w:kern w:val="2"/>
          <w:sz w:val="32"/>
          <w:szCs w:val="32"/>
          <w:lang w:bidi="en-US"/>
        </w:rPr>
      </w:pPr>
      <w:r>
        <w:rPr>
          <w:rFonts w:hint="eastAsia" w:eastAsia="仿宋_GB2312" w:cs="Times New Roman"/>
          <w:b w:val="0"/>
          <w:bCs/>
          <w:kern w:val="2"/>
          <w:sz w:val="32"/>
          <w:szCs w:val="32"/>
          <w:lang w:val="en-US" w:eastAsia="zh-CN" w:bidi="en-US"/>
        </w:rPr>
        <w:t>噪声污染防治通过</w:t>
      </w:r>
      <w:r>
        <w:rPr>
          <w:rFonts w:hint="default" w:ascii="Times New Roman" w:hAnsi="Times New Roman" w:eastAsia="仿宋_GB2312" w:cs="Times New Roman"/>
          <w:b w:val="0"/>
          <w:bCs/>
          <w:spacing w:val="0"/>
          <w:kern w:val="2"/>
          <w:sz w:val="32"/>
          <w:szCs w:val="32"/>
          <w:lang w:val="en-US" w:eastAsia="zh-CN" w:bidi="en-US"/>
        </w:rPr>
        <w:t>选用低噪声机械设备，加强设备维护保养，采取隔声、减振等综合降噪措施，</w:t>
      </w:r>
      <w:r>
        <w:rPr>
          <w:rFonts w:hint="default" w:ascii="Times New Roman" w:hAnsi="Times New Roman" w:eastAsia="仿宋_GB2312" w:cs="Times New Roman"/>
          <w:b w:val="0"/>
          <w:bCs/>
          <w:spacing w:val="0"/>
          <w:kern w:val="2"/>
          <w:sz w:val="32"/>
          <w:szCs w:val="32"/>
          <w:lang w:bidi="en-US"/>
        </w:rPr>
        <w:t>厂界噪声排放须达到《工业企业厂界环境噪声排放标准》(GB12348-2008)中2类区限值要求。</w:t>
      </w:r>
    </w:p>
    <w:p w14:paraId="252F70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国标黑体" w:cs="Times New Roman"/>
          <w:b w:val="0"/>
          <w:bCs/>
          <w:color w:val="auto"/>
          <w:spacing w:val="0"/>
          <w:kern w:val="2"/>
          <w:sz w:val="32"/>
          <w:szCs w:val="32"/>
          <w:lang w:bidi="en-US"/>
        </w:rPr>
      </w:pPr>
      <w:r>
        <w:rPr>
          <w:rFonts w:hint="default" w:ascii="Times New Roman" w:hAnsi="Times New Roman" w:eastAsia="国标黑体" w:cs="Times New Roman"/>
          <w:b w:val="0"/>
          <w:bCs/>
          <w:color w:val="auto"/>
          <w:spacing w:val="0"/>
          <w:kern w:val="2"/>
          <w:sz w:val="32"/>
          <w:szCs w:val="32"/>
          <w:lang w:bidi="en-US"/>
        </w:rPr>
        <w:t>三、</w:t>
      </w:r>
      <w:r>
        <w:rPr>
          <w:rFonts w:hint="default" w:ascii="Times New Roman" w:hAnsi="Times New Roman" w:eastAsia="国标黑体" w:cs="Times New Roman"/>
          <w:b w:val="0"/>
          <w:bCs/>
          <w:color w:val="auto"/>
          <w:spacing w:val="0"/>
          <w:kern w:val="2"/>
          <w:sz w:val="32"/>
          <w:szCs w:val="32"/>
          <w:lang w:val="en-US" w:eastAsia="zh-CN" w:bidi="en-US"/>
        </w:rPr>
        <w:t>相</w:t>
      </w:r>
      <w:r>
        <w:rPr>
          <w:rFonts w:hint="default" w:ascii="Times New Roman" w:hAnsi="Times New Roman" w:eastAsia="国标黑体" w:cs="Times New Roman"/>
          <w:b w:val="0"/>
          <w:bCs/>
          <w:color w:val="auto"/>
          <w:spacing w:val="0"/>
          <w:kern w:val="2"/>
          <w:sz w:val="32"/>
          <w:szCs w:val="32"/>
          <w:lang w:bidi="en-US"/>
        </w:rPr>
        <w:t>关要求</w:t>
      </w:r>
    </w:p>
    <w:p w14:paraId="665B33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pacing w:val="0"/>
          <w:kern w:val="2"/>
          <w:sz w:val="32"/>
          <w:szCs w:val="32"/>
          <w:lang w:val="en-US" w:eastAsia="zh-CN" w:bidi="en-US"/>
        </w:rPr>
      </w:pPr>
      <w:r>
        <w:rPr>
          <w:rFonts w:hint="default" w:ascii="Times New Roman" w:hAnsi="Times New Roman" w:eastAsia="仿宋_GB2312" w:cs="Times New Roman"/>
          <w:b w:val="0"/>
          <w:bCs/>
          <w:spacing w:val="0"/>
          <w:kern w:val="2"/>
          <w:sz w:val="32"/>
          <w:szCs w:val="32"/>
          <w:lang w:val="en-US" w:eastAsia="zh-CN" w:bidi="en-US"/>
        </w:rPr>
        <w:t>（一）项目建设必须严格执行建设项目环境保护设施与主体工程同时设计、同时施工、同时投入使用的环境保护“三同时”制度，项目竣工投入运行前须按规定办理项目环保竣工验收，验收合格后方可投入生产，并将环保竣工验收材料报生态环境主管部门进行备案。</w:t>
      </w:r>
    </w:p>
    <w:p w14:paraId="2DCF17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pacing w:val="0"/>
          <w:kern w:val="2"/>
          <w:sz w:val="32"/>
          <w:szCs w:val="32"/>
          <w:lang w:val="en-US" w:eastAsia="zh-CN" w:bidi="en-US"/>
        </w:rPr>
      </w:pPr>
      <w:r>
        <w:rPr>
          <w:rFonts w:hint="default" w:ascii="Times New Roman" w:hAnsi="Times New Roman" w:eastAsia="仿宋_GB2312" w:cs="Times New Roman"/>
          <w:b w:val="0"/>
          <w:bCs/>
          <w:spacing w:val="0"/>
          <w:kern w:val="2"/>
          <w:sz w:val="32"/>
          <w:szCs w:val="32"/>
          <w:lang w:val="en-US" w:eastAsia="zh-CN" w:bidi="en-US"/>
        </w:rPr>
        <w:t>（二）本批复仅限于《报告表》确定的工程内容，建设项目的地点、性质、规模、采用的工艺或者防治污染、防止生态破坏的措施等发生重大变动的，建设单位应当重新报批建设项目的环境影响评价文件。《报告表》自批准之日起，如超过5年方决定工程开工建设的，《报告表》应当报我局重新审核。</w:t>
      </w:r>
    </w:p>
    <w:p w14:paraId="76CB94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pacing w:val="0"/>
          <w:kern w:val="2"/>
          <w:sz w:val="32"/>
          <w:szCs w:val="32"/>
          <w:lang w:val="en-US" w:eastAsia="zh-CN" w:bidi="en-US"/>
        </w:rPr>
      </w:pPr>
      <w:r>
        <w:rPr>
          <w:rFonts w:hint="default" w:ascii="Times New Roman" w:hAnsi="Times New Roman" w:eastAsia="仿宋_GB2312" w:cs="Times New Roman"/>
          <w:b w:val="0"/>
          <w:bCs/>
          <w:spacing w:val="0"/>
          <w:kern w:val="2"/>
          <w:sz w:val="32"/>
          <w:szCs w:val="32"/>
          <w:lang w:val="en-US" w:eastAsia="zh-CN" w:bidi="en-US"/>
        </w:rPr>
        <w:t>（三）建设项目须依法依规取得相关部门合法手续后，方可开工建设。</w:t>
      </w:r>
    </w:p>
    <w:p w14:paraId="6269A9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pacing w:val="0"/>
          <w:kern w:val="2"/>
          <w:sz w:val="32"/>
          <w:szCs w:val="32"/>
          <w:lang w:val="en-US" w:eastAsia="zh-CN" w:bidi="en-US"/>
        </w:rPr>
      </w:pPr>
      <w:r>
        <w:rPr>
          <w:rFonts w:hint="default" w:ascii="Times New Roman" w:hAnsi="Times New Roman" w:eastAsia="仿宋_GB2312" w:cs="Times New Roman"/>
          <w:b w:val="0"/>
          <w:bCs/>
          <w:spacing w:val="0"/>
          <w:kern w:val="2"/>
          <w:sz w:val="32"/>
          <w:szCs w:val="32"/>
          <w:lang w:val="en-US" w:eastAsia="zh-CN" w:bidi="en-US"/>
        </w:rPr>
        <w:t>（四）海原县生态环境保护综合执法大队负责该项目环境保护“三同时”监督工作。</w:t>
      </w:r>
    </w:p>
    <w:p w14:paraId="6C38785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baseline"/>
        <w:rPr>
          <w:rFonts w:hint="default" w:ascii="Times New Roman" w:hAnsi="Times New Roman" w:eastAsia="仿宋_GB2312" w:cs="Times New Roman"/>
          <w:b w:val="0"/>
          <w:bCs w:val="0"/>
          <w:color w:val="auto"/>
          <w:spacing w:val="0"/>
          <w:sz w:val="32"/>
          <w:szCs w:val="32"/>
          <w:lang w:val="en-US" w:eastAsia="zh-CN" w:bidi="en-US"/>
        </w:rPr>
      </w:pPr>
      <w:r>
        <w:rPr>
          <w:rFonts w:hint="default" w:ascii="Times New Roman" w:hAnsi="Times New Roman" w:eastAsia="仿宋_GB2312" w:cs="Times New Roman"/>
          <w:b w:val="0"/>
          <w:bCs w:val="0"/>
          <w:color w:val="auto"/>
          <w:spacing w:val="0"/>
          <w:sz w:val="32"/>
          <w:szCs w:val="32"/>
          <w:lang w:val="en-US" w:eastAsia="zh-CN" w:bidi="en-US"/>
        </w:rPr>
        <w:t>（五）建设单位应建立健全环境管理制度和环保岗位责任制。设立专人负责项目运营期环境管理工作，加强设施的日常维护。</w:t>
      </w:r>
    </w:p>
    <w:p w14:paraId="285D31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0"/>
        <w:rPr>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pPr>
    </w:p>
    <w:p w14:paraId="24B5DD2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0"/>
        <w:rPr>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pPr>
    </w:p>
    <w:p w14:paraId="4D178F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0"/>
        <w:rPr>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pPr>
    </w:p>
    <w:p w14:paraId="30E7850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420"/>
        <w:jc w:val="right"/>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中卫</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t>市</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生态环境局海原县分局</w:t>
      </w:r>
    </w:p>
    <w:p w14:paraId="2AFF079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420"/>
        <w:jc w:val="center"/>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202</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年</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9</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月</w:t>
      </w:r>
      <w:r>
        <w:rPr>
          <w:rFonts w:hint="eastAsia" w:eastAsia="仿宋_GB2312" w:cs="Times New Roman"/>
          <w:b w:val="0"/>
          <w:bCs w:val="0"/>
          <w:i w:val="0"/>
          <w:iCs w:val="0"/>
          <w:caps w:val="0"/>
          <w:color w:val="auto"/>
          <w:spacing w:val="0"/>
          <w:sz w:val="32"/>
          <w:szCs w:val="32"/>
          <w:highlight w:val="none"/>
          <w:shd w:val="clear" w:fill="FFFFFF"/>
          <w:lang w:val="en-US" w:eastAsia="zh-CN"/>
        </w:rPr>
        <w:t>11</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日</w:t>
      </w:r>
    </w:p>
    <w:p w14:paraId="396C13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7E6027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6B8D40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740CF4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299266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5FBBFB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47DCDF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284F44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bookmarkStart w:id="1" w:name="_GoBack"/>
      <w:bookmarkEnd w:id="1"/>
    </w:p>
    <w:p w14:paraId="6432AB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6E638C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0798ED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3D0B07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3CF24C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6ADD49E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14:textFill>
            <w14:solidFill>
              <w14:schemeClr w14:val="tx1"/>
            </w14:solidFill>
          </w14:textFill>
        </w:rPr>
      </w:pPr>
    </w:p>
    <w:p w14:paraId="0F2F1F2E">
      <w:pPr>
        <w:tabs>
          <w:tab w:val="left" w:pos="7655"/>
        </w:tabs>
        <w:spacing w:line="520" w:lineRule="exact"/>
        <w:ind w:firstLine="140" w:firstLineChars="50"/>
        <w:rPr>
          <w:rFonts w:hint="default" w:ascii="Times New Roman" w:hAnsi="Times New Roman" w:eastAsia="仿宋_GB2312" w:cs="Times New Roman"/>
          <w:b w:val="0"/>
          <w:bCs w:val="0"/>
          <w:kern w:val="0"/>
          <w:sz w:val="28"/>
          <w:szCs w:val="28"/>
          <w:highlight w:val="none"/>
        </w:rPr>
      </w:pPr>
      <w:r>
        <w:rPr>
          <w:rFonts w:hint="default" w:ascii="Times New Roman" w:hAnsi="Times New Roman" w:eastAsia="仿宋_GB2312" w:cs="Times New Roman"/>
          <w:b w:val="0"/>
          <w:bCs w:val="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332740</wp:posOffset>
                </wp:positionV>
                <wp:extent cx="58007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2pt;height:0pt;width:456.75pt;z-index:251661312;mso-width-relative:page;mso-height-relative:page;" filled="f" stroked="t" coordsize="21600,21600" o:gfxdata="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X5Xd7UAAAABgEAAA8AAAAAAAAAAQAgAAAAIgAAAGRycy9kb3ducmV2LnhtbFBLAQIUABQA&#10;AAAIAIdO4kBkThQQ9AEAAOQDAAAOAAAAAAAAAAEAIAAAACM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35560</wp:posOffset>
                </wp:positionV>
                <wp:extent cx="58007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pt;width:456.75pt;z-index:251660288;mso-width-relative:page;mso-height-relative:page;" filled="f" stroked="t" coordsize="21600,21600" o:gfxdata="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AmcWTDU8Juvv/58&#10;+X77+xutNz9/sGkSafBYUeyVXYfjDv06JMb7Npj0Jy5sn4U9nISV+8gEHc4vyvLVbM6ZuPMV9xd9&#10;wPhWOsOSUXOtbOIMFezeYaRkFHoXko61ZUPNX88zHNAAttR4QjaeSKDt8l10WjXXSut0A0O3udKB&#10;7SANQf4SJcL9LywlWQH2Y1x2jePRS2je2IbFgyd5LL0KnkowsuFMS3pEySJAqCIofU4kpdaWKkiq&#10;jjoma+OaAzVj64PqelIiC59jqPm53uOgpun6d5+R7h/n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EYKu0wAAAAQBAAAPAAAAAAAAAAEAIAAAACIAAABkcnMvZG93bnJldi54bWxQSwECFAAUAAAA&#10;CACHTuJAV/O4p/MBAADkAwAADgAAAAAAAAABACAAAAAi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kern w:val="0"/>
          <w:sz w:val="28"/>
          <w:szCs w:val="28"/>
        </w:rPr>
        <w:t xml:space="preserve">中卫市生态环境局海原县分局办公室   </w:t>
      </w:r>
      <w:r>
        <w:rPr>
          <w:rFonts w:hint="default" w:ascii="Times New Roman" w:hAnsi="Times New Roman" w:eastAsia="仿宋_GB2312" w:cs="Times New Roman"/>
          <w:b w:val="0"/>
          <w:bCs w:val="0"/>
          <w:kern w:val="0"/>
          <w:sz w:val="28"/>
          <w:szCs w:val="28"/>
          <w:lang w:val="en-US" w:eastAsia="zh-CN"/>
        </w:rPr>
        <w:t xml:space="preserve">    </w:t>
      </w:r>
      <w:r>
        <w:rPr>
          <w:rFonts w:hint="default" w:ascii="Times New Roman" w:hAnsi="Times New Roman" w:eastAsia="仿宋_GB2312" w:cs="Times New Roman"/>
          <w:b w:val="0"/>
          <w:bCs w:val="0"/>
          <w:kern w:val="0"/>
          <w:sz w:val="28"/>
          <w:szCs w:val="28"/>
          <w:highlight w:val="none"/>
          <w:lang w:val="en-US" w:eastAsia="zh-CN"/>
        </w:rPr>
        <w:t xml:space="preserve">   </w:t>
      </w:r>
      <w:r>
        <w:rPr>
          <w:rFonts w:hint="default" w:ascii="Times New Roman" w:hAnsi="Times New Roman" w:eastAsia="仿宋_GB2312" w:cs="Times New Roman"/>
          <w:b w:val="0"/>
          <w:bCs w:val="0"/>
          <w:kern w:val="0"/>
          <w:sz w:val="28"/>
          <w:szCs w:val="28"/>
          <w:highlight w:val="none"/>
        </w:rPr>
        <w:t>202</w:t>
      </w:r>
      <w:r>
        <w:rPr>
          <w:rFonts w:hint="default" w:ascii="Times New Roman" w:hAnsi="Times New Roman" w:eastAsia="仿宋_GB2312" w:cs="Times New Roman"/>
          <w:b w:val="0"/>
          <w:bCs w:val="0"/>
          <w:kern w:val="0"/>
          <w:sz w:val="28"/>
          <w:szCs w:val="28"/>
          <w:highlight w:val="none"/>
          <w:lang w:val="en-US" w:eastAsia="zh-CN"/>
        </w:rPr>
        <w:t>5</w:t>
      </w:r>
      <w:r>
        <w:rPr>
          <w:rFonts w:hint="default" w:ascii="Times New Roman" w:hAnsi="Times New Roman" w:eastAsia="仿宋_GB2312" w:cs="Times New Roman"/>
          <w:b w:val="0"/>
          <w:bCs w:val="0"/>
          <w:kern w:val="0"/>
          <w:sz w:val="28"/>
          <w:szCs w:val="28"/>
          <w:highlight w:val="none"/>
        </w:rPr>
        <w:t>年</w:t>
      </w:r>
      <w:r>
        <w:rPr>
          <w:rFonts w:hint="eastAsia" w:ascii="Times New Roman" w:hAnsi="Times New Roman" w:eastAsia="仿宋_GB2312" w:cs="Times New Roman"/>
          <w:b w:val="0"/>
          <w:bCs w:val="0"/>
          <w:kern w:val="0"/>
          <w:sz w:val="28"/>
          <w:szCs w:val="28"/>
          <w:highlight w:val="none"/>
          <w:lang w:val="en-US" w:eastAsia="zh-CN"/>
        </w:rPr>
        <w:t>9</w:t>
      </w:r>
      <w:r>
        <w:rPr>
          <w:rFonts w:hint="default" w:ascii="Times New Roman" w:hAnsi="Times New Roman" w:eastAsia="仿宋_GB2312" w:cs="Times New Roman"/>
          <w:b w:val="0"/>
          <w:bCs w:val="0"/>
          <w:kern w:val="0"/>
          <w:sz w:val="28"/>
          <w:szCs w:val="28"/>
          <w:highlight w:val="none"/>
        </w:rPr>
        <w:t>月</w:t>
      </w:r>
      <w:r>
        <w:rPr>
          <w:rFonts w:hint="eastAsia" w:eastAsia="仿宋_GB2312" w:cs="Times New Roman"/>
          <w:b w:val="0"/>
          <w:bCs w:val="0"/>
          <w:kern w:val="0"/>
          <w:sz w:val="28"/>
          <w:szCs w:val="28"/>
          <w:highlight w:val="none"/>
          <w:lang w:val="en-US" w:eastAsia="zh-CN"/>
        </w:rPr>
        <w:t>11</w:t>
      </w:r>
      <w:r>
        <w:rPr>
          <w:rFonts w:hint="default" w:ascii="Times New Roman" w:hAnsi="Times New Roman" w:eastAsia="仿宋_GB2312" w:cs="Times New Roman"/>
          <w:b w:val="0"/>
          <w:bCs w:val="0"/>
          <w:kern w:val="0"/>
          <w:sz w:val="28"/>
          <w:szCs w:val="28"/>
          <w:highlight w:val="none"/>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黑体">
    <w:panose1 w:val="02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515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38128">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838128">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C5388"/>
    <w:multiLevelType w:val="singleLevel"/>
    <w:tmpl w:val="BCBC53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5886"/>
    <w:rsid w:val="012C2953"/>
    <w:rsid w:val="039E11BA"/>
    <w:rsid w:val="05634469"/>
    <w:rsid w:val="06950CBD"/>
    <w:rsid w:val="06D870D9"/>
    <w:rsid w:val="07AE4C64"/>
    <w:rsid w:val="084A7B62"/>
    <w:rsid w:val="09273A00"/>
    <w:rsid w:val="0A5A33E4"/>
    <w:rsid w:val="0C1C35C4"/>
    <w:rsid w:val="0C776A4C"/>
    <w:rsid w:val="10A5002C"/>
    <w:rsid w:val="119C142F"/>
    <w:rsid w:val="120574CD"/>
    <w:rsid w:val="13645F7C"/>
    <w:rsid w:val="15130EC7"/>
    <w:rsid w:val="18420856"/>
    <w:rsid w:val="1A7F4006"/>
    <w:rsid w:val="1B216501"/>
    <w:rsid w:val="1BA60C44"/>
    <w:rsid w:val="1D991D9B"/>
    <w:rsid w:val="208005A2"/>
    <w:rsid w:val="21A77AE0"/>
    <w:rsid w:val="21C30312"/>
    <w:rsid w:val="25C725E1"/>
    <w:rsid w:val="2A047719"/>
    <w:rsid w:val="2AAD5120"/>
    <w:rsid w:val="2FC71915"/>
    <w:rsid w:val="30850E88"/>
    <w:rsid w:val="32272683"/>
    <w:rsid w:val="33DA14EB"/>
    <w:rsid w:val="387B56F8"/>
    <w:rsid w:val="38B247E4"/>
    <w:rsid w:val="39F5708F"/>
    <w:rsid w:val="3A485400"/>
    <w:rsid w:val="3B1F0857"/>
    <w:rsid w:val="3D3D08C7"/>
    <w:rsid w:val="3DFFA926"/>
    <w:rsid w:val="3E300685"/>
    <w:rsid w:val="3E9450B8"/>
    <w:rsid w:val="3EBC016B"/>
    <w:rsid w:val="3EC86B10"/>
    <w:rsid w:val="41285F8B"/>
    <w:rsid w:val="416A65A4"/>
    <w:rsid w:val="420267DC"/>
    <w:rsid w:val="427F45B0"/>
    <w:rsid w:val="435E1880"/>
    <w:rsid w:val="458D460F"/>
    <w:rsid w:val="479559FD"/>
    <w:rsid w:val="49A42E35"/>
    <w:rsid w:val="4B541076"/>
    <w:rsid w:val="4BD905AE"/>
    <w:rsid w:val="4D5A74CD"/>
    <w:rsid w:val="51893482"/>
    <w:rsid w:val="548425E3"/>
    <w:rsid w:val="59FE7432"/>
    <w:rsid w:val="5BF22FC6"/>
    <w:rsid w:val="5C96561A"/>
    <w:rsid w:val="5EBF285B"/>
    <w:rsid w:val="6106379C"/>
    <w:rsid w:val="62F45876"/>
    <w:rsid w:val="66A64089"/>
    <w:rsid w:val="6A59002F"/>
    <w:rsid w:val="6BDA7CFF"/>
    <w:rsid w:val="6DB225B5"/>
    <w:rsid w:val="6E296D1B"/>
    <w:rsid w:val="6E4C2A0A"/>
    <w:rsid w:val="6F3705BB"/>
    <w:rsid w:val="71415DE1"/>
    <w:rsid w:val="76C577FD"/>
    <w:rsid w:val="78007BD1"/>
    <w:rsid w:val="780132C5"/>
    <w:rsid w:val="7E4E1E86"/>
    <w:rsid w:val="7E971A7F"/>
    <w:rsid w:val="7F9AD593"/>
    <w:rsid w:val="7FA51BD1"/>
    <w:rsid w:val="BA7D3EF7"/>
    <w:rsid w:val="CACF9917"/>
    <w:rsid w:val="D7C18FBC"/>
    <w:rsid w:val="FFFF9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仿宋"/>
      <w:b/>
      <w:bCs/>
      <w:kern w:val="16"/>
      <w:sz w:val="28"/>
      <w:szCs w:val="28"/>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0"/>
    <w:pPr>
      <w:ind w:firstLine="420" w:firstLineChars="200"/>
    </w:pPr>
  </w:style>
  <w:style w:type="paragraph" w:customStyle="1" w:styleId="4">
    <w:name w:val="正文1"/>
    <w:basedOn w:val="1"/>
    <w:next w:val="1"/>
    <w:qFormat/>
    <w:uiPriority w:val="0"/>
    <w:pPr>
      <w:spacing w:line="360" w:lineRule="auto"/>
      <w:ind w:firstLine="480" w:firstLineChars="200"/>
    </w:pPr>
    <w:rPr>
      <w:kern w:val="0"/>
      <w:sz w:val="20"/>
      <w:szCs w:val="20"/>
    </w:rPr>
  </w:style>
  <w:style w:type="paragraph" w:styleId="5">
    <w:name w:val="index 5"/>
    <w:basedOn w:val="1"/>
    <w:next w:val="1"/>
    <w:qFormat/>
    <w:uiPriority w:val="0"/>
    <w:pPr>
      <w:ind w:left="1680"/>
    </w:pPr>
  </w:style>
  <w:style w:type="paragraph" w:styleId="6">
    <w:name w:val="Body Text Indent"/>
    <w:basedOn w:val="1"/>
    <w:next w:val="7"/>
    <w:qFormat/>
    <w:uiPriority w:val="0"/>
    <w:pPr>
      <w:autoSpaceDE w:val="0"/>
      <w:autoSpaceDN w:val="0"/>
      <w:adjustRightInd w:val="0"/>
      <w:spacing w:line="360" w:lineRule="auto"/>
      <w:ind w:firstLine="480" w:firstLineChars="200"/>
    </w:pPr>
    <w:rPr>
      <w:rFonts w:ascii="宋体" w:hAnsi="宋体"/>
      <w:kern w:val="0"/>
      <w:sz w:val="24"/>
      <w:szCs w:val="21"/>
    </w:rPr>
  </w:style>
  <w:style w:type="paragraph" w:customStyle="1" w:styleId="7">
    <w:name w:val="样式 正文文本缩进 + 行距: 1.5 倍行距"/>
    <w:basedOn w:val="6"/>
    <w:qFormat/>
    <w:uiPriority w:val="0"/>
    <w:pPr>
      <w:ind w:left="90" w:leftChars="32" w:firstLine="560" w:firstLineChars="200"/>
    </w:pPr>
    <w:rPr>
      <w:rFonts w:ascii="Times New Roman" w:cs="宋体"/>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heading"/>
    <w:basedOn w:val="1"/>
    <w:next w:val="11"/>
    <w:qFormat/>
    <w:uiPriority w:val="0"/>
    <w:rPr>
      <w:rFonts w:ascii="Arial" w:hAnsi="Arial"/>
    </w:rPr>
  </w:style>
  <w:style w:type="paragraph" w:styleId="11">
    <w:name w:val="index 1"/>
    <w:basedOn w:val="1"/>
    <w:next w:val="1"/>
    <w:qFormat/>
    <w:uiPriority w:val="0"/>
    <w:pPr>
      <w:adjustRightInd w:val="0"/>
      <w:spacing w:line="240" w:lineRule="atLeast"/>
      <w:jc w:val="center"/>
      <w:textAlignment w:val="baseline"/>
    </w:pPr>
    <w:rPr>
      <w:rFonts w:ascii="宋体" w:hAnsi="宋体"/>
      <w:kern w:val="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next w:val="1"/>
    <w:qFormat/>
    <w:uiPriority w:val="0"/>
    <w:pPr>
      <w:spacing w:after="120" w:line="240" w:lineRule="auto"/>
      <w:ind w:left="420" w:leftChars="200" w:firstLine="42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paragraph" w:customStyle="1" w:styleId="18">
    <w:name w:val="表格"/>
    <w:basedOn w:val="3"/>
    <w:next w:val="1"/>
    <w:qFormat/>
    <w:uiPriority w:val="0"/>
    <w:pPr>
      <w:adjustRightInd w:val="0"/>
      <w:snapToGrid w:val="0"/>
      <w:spacing w:beforeLines="10" w:afterLines="10" w:line="259" w:lineRule="auto"/>
      <w:jc w:val="center"/>
    </w:pPr>
    <w:rPr>
      <w:rFonts w:ascii="宋体"/>
      <w:kern w:val="0"/>
      <w:szCs w:val="20"/>
    </w:r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paragraph" w:customStyle="1" w:styleId="20">
    <w:name w:val="正文首行缩进 21"/>
    <w:basedOn w:val="6"/>
    <w:next w:val="1"/>
    <w:qFormat/>
    <w:uiPriority w:val="0"/>
    <w:pPr>
      <w:spacing w:before="100" w:beforeAutospacing="1"/>
      <w:ind w:firstLine="420"/>
    </w:pPr>
    <w:rPr>
      <w:rFonts w:cs="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1674</Words>
  <Characters>1755</Characters>
  <Lines>0</Lines>
  <Paragraphs>0</Paragraphs>
  <TotalTime>16</TotalTime>
  <ScaleCrop>false</ScaleCrop>
  <LinksUpToDate>false</LinksUpToDate>
  <CharactersWithSpaces>1796</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2024-05-10T00:33:00Z</dcterms:created>
  <dc:creator>Administrator</dc:creator>
  <cp:lastModifiedBy>铃铛</cp:lastModifiedBy>
  <cp:lastPrinted>2025-09-12T09:26:34Z</cp:lastPrinted>
  <dcterms:modified xsi:type="dcterms:W3CDTF">2025-09-12T09:33:02Z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467DAB7F824060B13D53C168CF0F0803_43</vt:lpwstr>
  </property>
  <property fmtid="{D5CDD505-2E9C-101B-9397-08002B2CF9AE}" pid="4" name="KSOTemplateDocerSaveRecord">
    <vt:lpwstr>eyJoZGlkIjoiYjU1Y2U3Y2M0ZWM0Y2FkZjJkNDc3NjdlM2VlNWY1NTEiLCJ1c2VySWQiOiIxNDcyMjg4NTg2In0=</vt:lpwstr>
  </property>
</Properties>
</file>