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EA43">
      <w:pPr>
        <w:widowControl/>
        <w:shd w:val="clear" w:color="auto" w:fill="FFFFFF"/>
        <w:spacing w:line="600" w:lineRule="exact"/>
        <w:jc w:val="center"/>
        <w:rPr>
          <w:rFonts w:ascii="方正小标宋_GBK" w:hAnsi="方正小标宋_GBK" w:eastAsia="方正小标宋_GBK" w:cs="方正小标宋_GBK"/>
          <w:color w:val="292929"/>
          <w:kern w:val="0"/>
          <w:sz w:val="36"/>
          <w:szCs w:val="36"/>
        </w:rPr>
      </w:pPr>
      <w:r>
        <w:rPr>
          <w:rFonts w:hint="eastAsia" w:ascii="方正小标宋_GBK" w:hAnsi="方正小标宋_GBK" w:eastAsia="方正小标宋_GBK" w:cs="方正小标宋_GBK"/>
          <w:color w:val="292929"/>
          <w:kern w:val="0"/>
          <w:sz w:val="36"/>
          <w:szCs w:val="36"/>
        </w:rPr>
        <w:t>建设项目环境影响评价文件拟进行审查审批的公示</w:t>
      </w:r>
    </w:p>
    <w:tbl>
      <w:tblPr>
        <w:tblStyle w:val="12"/>
        <w:tblpPr w:leftFromText="180" w:rightFromText="180" w:vertAnchor="text" w:horzAnchor="page" w:tblpX="981" w:tblpY="590"/>
        <w:tblOverlap w:val="never"/>
        <w:tblW w:w="14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850"/>
        <w:gridCol w:w="855"/>
        <w:gridCol w:w="825"/>
        <w:gridCol w:w="1095"/>
        <w:gridCol w:w="3540"/>
        <w:gridCol w:w="7215"/>
      </w:tblGrid>
      <w:tr w14:paraId="0438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375" w:type="dxa"/>
            <w:vAlign w:val="center"/>
          </w:tcPr>
          <w:p w14:paraId="3FDD8BF0">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850" w:type="dxa"/>
            <w:vAlign w:val="center"/>
          </w:tcPr>
          <w:p w14:paraId="2BA5E37C">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855" w:type="dxa"/>
            <w:vAlign w:val="center"/>
          </w:tcPr>
          <w:p w14:paraId="1B651369">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建设地点</w:t>
            </w:r>
          </w:p>
        </w:tc>
        <w:tc>
          <w:tcPr>
            <w:tcW w:w="825" w:type="dxa"/>
            <w:vAlign w:val="center"/>
          </w:tcPr>
          <w:p w14:paraId="31C51F65">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建设单位</w:t>
            </w:r>
          </w:p>
        </w:tc>
        <w:tc>
          <w:tcPr>
            <w:tcW w:w="1095" w:type="dxa"/>
            <w:vAlign w:val="center"/>
          </w:tcPr>
          <w:p w14:paraId="3F2F6A3E">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环境影响评价机构</w:t>
            </w:r>
          </w:p>
        </w:tc>
        <w:tc>
          <w:tcPr>
            <w:tcW w:w="3540" w:type="dxa"/>
            <w:vAlign w:val="center"/>
          </w:tcPr>
          <w:p w14:paraId="03E8001C">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建设项目概况</w:t>
            </w:r>
          </w:p>
        </w:tc>
        <w:tc>
          <w:tcPr>
            <w:tcW w:w="7215" w:type="dxa"/>
            <w:vAlign w:val="center"/>
          </w:tcPr>
          <w:p w14:paraId="4F4C8641">
            <w:pPr>
              <w:spacing w:line="240" w:lineRule="exact"/>
              <w:jc w:val="center"/>
              <w:rPr>
                <w:rFonts w:ascii="仿宋" w:hAnsi="仿宋" w:eastAsia="仿宋" w:cs="仿宋"/>
                <w:b/>
                <w:bCs/>
                <w:sz w:val="24"/>
                <w:szCs w:val="24"/>
              </w:rPr>
            </w:pPr>
            <w:r>
              <w:rPr>
                <w:rFonts w:hint="eastAsia" w:ascii="仿宋" w:hAnsi="仿宋" w:eastAsia="仿宋" w:cs="仿宋"/>
                <w:b/>
                <w:bCs/>
                <w:sz w:val="24"/>
                <w:szCs w:val="24"/>
              </w:rPr>
              <w:t>主要环境影响及预防或者减轻不良环境影响的对策和措施</w:t>
            </w:r>
          </w:p>
        </w:tc>
      </w:tr>
      <w:tr w14:paraId="3F95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375" w:type="dxa"/>
            <w:vAlign w:val="center"/>
          </w:tcPr>
          <w:p w14:paraId="620401C4">
            <w:pPr>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850" w:type="dxa"/>
            <w:shd w:val="clear" w:color="auto" w:fill="auto"/>
            <w:vAlign w:val="center"/>
          </w:tcPr>
          <w:p w14:paraId="6D93316B">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海原县西河中型灌区西安镇调蓄水库工程</w:t>
            </w:r>
          </w:p>
        </w:tc>
        <w:tc>
          <w:tcPr>
            <w:tcW w:w="855" w:type="dxa"/>
            <w:shd w:val="clear" w:color="auto" w:fill="auto"/>
            <w:vAlign w:val="center"/>
          </w:tcPr>
          <w:p w14:paraId="403E918B">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海原县西安镇</w:t>
            </w:r>
          </w:p>
        </w:tc>
        <w:tc>
          <w:tcPr>
            <w:tcW w:w="825" w:type="dxa"/>
            <w:shd w:val="clear" w:color="auto" w:fill="auto"/>
            <w:vAlign w:val="center"/>
          </w:tcPr>
          <w:p w14:paraId="419FC89D">
            <w:pPr>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海原县水务局</w:t>
            </w:r>
          </w:p>
        </w:tc>
        <w:tc>
          <w:tcPr>
            <w:tcW w:w="1095" w:type="dxa"/>
            <w:shd w:val="clear" w:color="auto" w:fill="auto"/>
            <w:vAlign w:val="center"/>
          </w:tcPr>
          <w:p w14:paraId="571489BA">
            <w:pPr>
              <w:jc w:val="center"/>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宁夏卓然工程科技有限公司</w:t>
            </w:r>
          </w:p>
        </w:tc>
        <w:tc>
          <w:tcPr>
            <w:tcW w:w="3540" w:type="dxa"/>
            <w:vAlign w:val="center"/>
          </w:tcPr>
          <w:p w14:paraId="5D7F610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本工程位于宁夏回族自治区中卫市海原县西安镇，中心地理坐标为东经：105</w:t>
            </w: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30</w:t>
            </w: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12.209"，北纬：36</w:t>
            </w: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35</w:t>
            </w: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49.126"。</w:t>
            </w:r>
          </w:p>
          <w:p w14:paraId="0F15463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本工程主要的建设内容为：</w:t>
            </w:r>
          </w:p>
          <w:p w14:paraId="15E70B4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（1）调蓄水库工程：新建调蓄水库总库容100万m³，库深</w:t>
            </w:r>
            <w:r>
              <w:rPr>
                <w:rFonts w:hint="default" w:ascii="仿宋_GB2312" w:hAnsi="仿宋_GB2312" w:eastAsia="仿宋_GB2312" w:cs="仿宋_GB2312"/>
                <w:color w:val="auto"/>
                <w:kern w:val="2"/>
                <w:sz w:val="21"/>
                <w:szCs w:val="21"/>
                <w:lang w:val="en-US" w:eastAsia="zh-CN" w:bidi="ar-SA"/>
              </w:rPr>
              <w:t>11.50</w:t>
            </w:r>
            <w:r>
              <w:rPr>
                <w:rFonts w:hint="eastAsia" w:ascii="仿宋_GB2312" w:hAnsi="仿宋_GB2312" w:eastAsia="仿宋_GB2312" w:cs="仿宋_GB2312"/>
                <w:color w:val="auto"/>
                <w:kern w:val="2"/>
                <w:sz w:val="21"/>
                <w:szCs w:val="21"/>
                <w:lang w:val="en-US" w:eastAsia="zh-CN" w:bidi="ar-SA"/>
              </w:rPr>
              <w:t>m，设计水深</w:t>
            </w:r>
            <w:r>
              <w:rPr>
                <w:rFonts w:hint="default" w:ascii="仿宋_GB2312" w:hAnsi="仿宋_GB2312" w:eastAsia="仿宋_GB2312" w:cs="仿宋_GB2312"/>
                <w:color w:val="auto"/>
                <w:kern w:val="2"/>
                <w:sz w:val="21"/>
                <w:szCs w:val="21"/>
                <w:lang w:val="en-US" w:eastAsia="zh-CN" w:bidi="ar-SA"/>
              </w:rPr>
              <w:t>10.00</w:t>
            </w:r>
            <w:r>
              <w:rPr>
                <w:rFonts w:hint="eastAsia" w:ascii="仿宋_GB2312" w:hAnsi="仿宋_GB2312" w:eastAsia="仿宋_GB2312" w:cs="仿宋_GB2312"/>
                <w:color w:val="auto"/>
                <w:kern w:val="2"/>
                <w:sz w:val="21"/>
                <w:szCs w:val="21"/>
                <w:lang w:val="en-US" w:eastAsia="zh-CN" w:bidi="ar-SA"/>
              </w:rPr>
              <w:t>m，调蓄水库轴线长1345m，调蓄水库堤坝采用碾压式当地材料坝，坝顶高程1</w:t>
            </w:r>
            <w:r>
              <w:rPr>
                <w:rFonts w:hint="default" w:ascii="仿宋_GB2312" w:hAnsi="仿宋_GB2312" w:eastAsia="仿宋_GB2312" w:cs="仿宋_GB2312"/>
                <w:color w:val="auto"/>
                <w:kern w:val="2"/>
                <w:sz w:val="21"/>
                <w:szCs w:val="21"/>
                <w:lang w:val="en-US" w:eastAsia="zh-CN" w:bidi="ar-SA"/>
              </w:rPr>
              <w:t>727.50</w:t>
            </w:r>
            <w:r>
              <w:rPr>
                <w:rFonts w:hint="eastAsia" w:ascii="仿宋_GB2312" w:hAnsi="仿宋_GB2312" w:eastAsia="仿宋_GB2312" w:cs="仿宋_GB2312"/>
                <w:color w:val="auto"/>
                <w:kern w:val="2"/>
                <w:sz w:val="21"/>
                <w:szCs w:val="21"/>
                <w:lang w:val="en-US" w:eastAsia="zh-CN" w:bidi="ar-SA"/>
              </w:rPr>
              <w:t>m，坝顶宽度设计为</w:t>
            </w:r>
            <w:r>
              <w:rPr>
                <w:rFonts w:hint="default" w:ascii="仿宋_GB2312" w:hAnsi="仿宋_GB2312" w:eastAsia="仿宋_GB2312" w:cs="仿宋_GB2312"/>
                <w:color w:val="auto"/>
                <w:kern w:val="2"/>
                <w:sz w:val="21"/>
                <w:szCs w:val="21"/>
                <w:lang w:val="en-US" w:eastAsia="zh-CN" w:bidi="ar-SA"/>
              </w:rPr>
              <w:t>6.0m</w:t>
            </w:r>
            <w:r>
              <w:rPr>
                <w:rFonts w:hint="eastAsia" w:ascii="仿宋_GB2312" w:hAnsi="仿宋_GB2312" w:eastAsia="仿宋_GB2312" w:cs="仿宋_GB2312"/>
                <w:color w:val="auto"/>
                <w:kern w:val="2"/>
                <w:sz w:val="21"/>
                <w:szCs w:val="21"/>
                <w:lang w:val="en-US" w:eastAsia="zh-CN" w:bidi="ar-SA"/>
              </w:rPr>
              <w:t>，坝顶采用泥结石路面；水库迎水面坡比为</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w:t>
            </w:r>
            <w:r>
              <w:rPr>
                <w:rFonts w:hint="default" w:ascii="仿宋_GB2312" w:hAnsi="仿宋_GB2312" w:eastAsia="仿宋_GB2312" w:cs="仿宋_GB2312"/>
                <w:color w:val="auto"/>
                <w:kern w:val="2"/>
                <w:sz w:val="21"/>
                <w:szCs w:val="21"/>
                <w:lang w:val="en-US" w:eastAsia="zh-CN" w:bidi="ar-SA"/>
              </w:rPr>
              <w:t>3.0</w:t>
            </w:r>
            <w:r>
              <w:rPr>
                <w:rFonts w:hint="eastAsia" w:ascii="仿宋_GB2312" w:hAnsi="仿宋_GB2312" w:eastAsia="仿宋_GB2312" w:cs="仿宋_GB2312"/>
                <w:color w:val="auto"/>
                <w:kern w:val="2"/>
                <w:sz w:val="21"/>
                <w:szCs w:val="21"/>
                <w:lang w:val="en-US" w:eastAsia="zh-CN" w:bidi="ar-SA"/>
              </w:rPr>
              <w:t>，背水面填方段坡比为</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w:t>
            </w:r>
            <w:r>
              <w:rPr>
                <w:rFonts w:hint="default" w:ascii="仿宋_GB2312" w:hAnsi="仿宋_GB2312" w:eastAsia="仿宋_GB2312" w:cs="仿宋_GB2312"/>
                <w:color w:val="auto"/>
                <w:kern w:val="2"/>
                <w:sz w:val="21"/>
                <w:szCs w:val="21"/>
                <w:lang w:val="en-US" w:eastAsia="zh-CN" w:bidi="ar-SA"/>
              </w:rPr>
              <w:t>2.5</w:t>
            </w:r>
            <w:r>
              <w:rPr>
                <w:rFonts w:hint="eastAsia" w:ascii="仿宋_GB2312" w:hAnsi="仿宋_GB2312" w:eastAsia="仿宋_GB2312" w:cs="仿宋_GB2312"/>
                <w:color w:val="auto"/>
                <w:kern w:val="2"/>
                <w:sz w:val="21"/>
                <w:szCs w:val="21"/>
                <w:lang w:val="en-US" w:eastAsia="zh-CN" w:bidi="ar-SA"/>
              </w:rPr>
              <w:t>。迎水面堤坡自上而下依次为现浇混凝土方格网内铺设80mm厚C30预制混凝土板、500mm厚砂砾石抗冻胀破坏保温层、100mm厚细砂保护层、250g/0.6mm/250g复合土工膜防渗。</w:t>
            </w:r>
          </w:p>
          <w:p w14:paraId="0FFD8F7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（2）进水工程：新铺</w:t>
            </w:r>
            <w:r>
              <w:rPr>
                <w:rFonts w:hint="default" w:ascii="仿宋_GB2312" w:hAnsi="仿宋_GB2312" w:eastAsia="仿宋_GB2312" w:cs="仿宋_GB2312"/>
                <w:color w:val="auto"/>
                <w:kern w:val="2"/>
                <w:sz w:val="21"/>
                <w:szCs w:val="21"/>
                <w:lang w:val="en-US" w:eastAsia="zh-CN" w:bidi="ar-SA"/>
              </w:rPr>
              <w:t>0.0</w:t>
            </w:r>
            <w:r>
              <w:rPr>
                <w:rFonts w:hint="eastAsia" w:ascii="仿宋_GB2312" w:hAnsi="仿宋_GB2312" w:eastAsia="仿宋_GB2312" w:cs="仿宋_GB2312"/>
                <w:color w:val="auto"/>
                <w:kern w:val="2"/>
                <w:sz w:val="21"/>
                <w:szCs w:val="21"/>
                <w:lang w:val="en-US" w:eastAsia="zh-CN" w:bidi="ar-SA"/>
              </w:rPr>
              <w:t>85</w:t>
            </w:r>
            <w:r>
              <w:rPr>
                <w:rFonts w:hint="default" w:ascii="仿宋_GB2312" w:hAnsi="仿宋_GB2312" w:eastAsia="仿宋_GB2312" w:cs="仿宋_GB2312"/>
                <w:color w:val="auto"/>
                <w:kern w:val="2"/>
                <w:sz w:val="21"/>
                <w:szCs w:val="21"/>
                <w:lang w:val="en-US" w:eastAsia="zh-CN" w:bidi="ar-SA"/>
              </w:rPr>
              <w:t>km</w:t>
            </w:r>
            <w:r>
              <w:rPr>
                <w:rFonts w:hint="eastAsia" w:ascii="仿宋_GB2312" w:hAnsi="仿宋_GB2312" w:eastAsia="仿宋_GB2312" w:cs="仿宋_GB2312"/>
                <w:color w:val="auto"/>
                <w:kern w:val="2"/>
                <w:sz w:val="21"/>
                <w:szCs w:val="21"/>
                <w:lang w:val="en-US" w:eastAsia="zh-CN" w:bidi="ar-SA"/>
              </w:rPr>
              <w:t>长的进水管，管道为</w:t>
            </w:r>
            <w:r>
              <w:rPr>
                <w:rFonts w:hint="default" w:ascii="仿宋_GB2312" w:hAnsi="仿宋_GB2312" w:eastAsia="仿宋_GB2312" w:cs="仿宋_GB2312"/>
                <w:color w:val="auto"/>
                <w:kern w:val="2"/>
                <w:sz w:val="21"/>
                <w:szCs w:val="21"/>
                <w:lang w:val="en-US" w:eastAsia="zh-CN" w:bidi="ar-SA"/>
              </w:rPr>
              <w:t>DN800mm</w:t>
            </w:r>
            <w:r>
              <w:rPr>
                <w:rFonts w:hint="eastAsia" w:ascii="仿宋_GB2312" w:hAnsi="仿宋_GB2312" w:eastAsia="仿宋_GB2312" w:cs="仿宋_GB2312"/>
                <w:color w:val="auto"/>
                <w:kern w:val="2"/>
                <w:sz w:val="21"/>
                <w:szCs w:val="21"/>
                <w:lang w:val="en-US" w:eastAsia="zh-CN" w:bidi="ar-SA"/>
              </w:rPr>
              <w:t>，进水管线共设置附属建筑物</w:t>
            </w:r>
            <w:r>
              <w:rPr>
                <w:rFonts w:hint="default" w:ascii="仿宋_GB2312" w:hAnsi="仿宋_GB2312" w:eastAsia="仿宋_GB2312" w:cs="仿宋_GB2312"/>
                <w:color w:val="auto"/>
                <w:kern w:val="2"/>
                <w:sz w:val="21"/>
                <w:szCs w:val="21"/>
                <w:lang w:val="en-US" w:eastAsia="zh-CN" w:bidi="ar-SA"/>
              </w:rPr>
              <w:t>6</w:t>
            </w:r>
            <w:r>
              <w:rPr>
                <w:rFonts w:hint="eastAsia" w:ascii="仿宋_GB2312" w:hAnsi="仿宋_GB2312" w:eastAsia="仿宋_GB2312" w:cs="仿宋_GB2312"/>
                <w:color w:val="auto"/>
                <w:kern w:val="2"/>
                <w:sz w:val="21"/>
                <w:szCs w:val="21"/>
                <w:lang w:val="en-US" w:eastAsia="zh-CN" w:bidi="ar-SA"/>
              </w:rPr>
              <w:t>个（座），其中镇墩</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个，控制阀井</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座，活塞式调流调压阀井</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座，电磁流量计井</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座，排气补气阀井</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座，调蓄水库进水建筑物</w:t>
            </w:r>
            <w:r>
              <w:rPr>
                <w:rFonts w:hint="default" w:ascii="仿宋_GB2312" w:hAnsi="仿宋_GB2312" w:eastAsia="仿宋_GB2312" w:cs="仿宋_GB2312"/>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座。</w:t>
            </w:r>
          </w:p>
          <w:p w14:paraId="3B47EC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w:t>
            </w:r>
            <w:r>
              <w:rPr>
                <w:rFonts w:hint="default" w:ascii="仿宋_GB2312" w:hAnsi="仿宋_GB2312" w:eastAsia="仿宋_GB2312" w:cs="仿宋_GB2312"/>
                <w:color w:val="auto"/>
                <w:kern w:val="2"/>
                <w:sz w:val="21"/>
                <w:szCs w:val="21"/>
                <w:lang w:val="en-US" w:eastAsia="zh-CN" w:bidi="ar-SA"/>
              </w:rPr>
              <w:t>3</w:t>
            </w:r>
            <w:r>
              <w:rPr>
                <w:rFonts w:hint="eastAsia" w:ascii="仿宋_GB2312" w:hAnsi="仿宋_GB2312" w:eastAsia="仿宋_GB2312" w:cs="仿宋_GB2312"/>
                <w:color w:val="auto"/>
                <w:kern w:val="2"/>
                <w:sz w:val="21"/>
                <w:szCs w:val="21"/>
                <w:lang w:val="en-US" w:eastAsia="zh-CN" w:bidi="ar-SA"/>
              </w:rPr>
              <w:t>）出水泵站：在调蓄水库北侧新建浮船泵站1座，设计流量为0.4m³/s，至18#蓄水池，泵站净扬程29.5-39m；至19#蓄水池，泵站净扬程89.4-98.9m。</w:t>
            </w:r>
          </w:p>
          <w:p w14:paraId="34A1C1E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w:t>
            </w:r>
            <w:r>
              <w:rPr>
                <w:rFonts w:hint="default" w:ascii="仿宋_GB2312" w:hAnsi="仿宋_GB2312" w:eastAsia="仿宋_GB2312" w:cs="仿宋_GB2312"/>
                <w:color w:val="auto"/>
                <w:kern w:val="2"/>
                <w:sz w:val="21"/>
                <w:szCs w:val="21"/>
                <w:lang w:val="en-US" w:eastAsia="zh-CN" w:bidi="ar-SA"/>
              </w:rPr>
              <w:t>4</w:t>
            </w:r>
            <w:r>
              <w:rPr>
                <w:rFonts w:hint="eastAsia" w:ascii="仿宋_GB2312" w:hAnsi="仿宋_GB2312" w:eastAsia="仿宋_GB2312" w:cs="仿宋_GB2312"/>
                <w:color w:val="auto"/>
                <w:kern w:val="2"/>
                <w:sz w:val="21"/>
                <w:szCs w:val="21"/>
                <w:lang w:val="en-US" w:eastAsia="zh-CN" w:bidi="ar-SA"/>
              </w:rPr>
              <w:t>）出水管线：采用两条管线（1#出水压力管线和2#出水压力管线）取水，其中1#压力管线通过748mDN600钢管输送至4#蓄水池；2#压力管线通过477mDN800钢管接入四泵站（潘家湾）压力管线4#-1-1’配水管线将水输送至18#与19#蓄水池。</w:t>
            </w:r>
          </w:p>
          <w:p w14:paraId="0476166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ascii="仿宋_GB2312" w:hAnsi="仿宋_GB2312" w:eastAsia="仿宋_GB2312" w:cs="仿宋_GB2312"/>
                <w:color w:val="auto"/>
                <w:kern w:val="2"/>
                <w:sz w:val="21"/>
                <w:szCs w:val="21"/>
                <w:lang w:val="en-US" w:eastAsia="zh-CN" w:bidi="ar-SA"/>
              </w:rPr>
              <w:t>项目总投资11003.4万元，其中环保投资为216万元。</w:t>
            </w:r>
          </w:p>
        </w:tc>
        <w:tc>
          <w:tcPr>
            <w:tcW w:w="7215" w:type="dxa"/>
            <w:vAlign w:val="top"/>
          </w:tcPr>
          <w:p w14:paraId="4900C81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施工期：</w:t>
            </w:r>
          </w:p>
          <w:p w14:paraId="6B5C4C6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废气防治措施：施工场地（包括混凝土生产区、土料制备区、临时堆料场与弃土场）设置施工围挡、土方开挖采用湿法作业、适时洒水降尘、运输车辆加盖篷布、机械设备及车辆定期维修保养，同时严格落实“六个百分百”防尘措施，施工期间钢材加工和木材加工过程中产生的焊接烟气和切割粉尘通过设置移动式烟气粉尘吸收装置进行吸收。</w:t>
            </w:r>
          </w:p>
          <w:p w14:paraId="479D2B0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仿宋_GB2312" w:hAnsi="仿宋_GB2312" w:eastAsia="仿宋_GB2312" w:cs="仿宋_GB2312"/>
                <w:color w:val="auto"/>
                <w:kern w:val="2"/>
                <w:sz w:val="21"/>
                <w:szCs w:val="21"/>
                <w:lang w:val="en-US" w:eastAsia="zh-CN" w:bidi="ar-SA"/>
              </w:rPr>
            </w:pP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2</w:t>
            </w: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废水防治措施：本工程施工废水经临时沉淀池沉淀后用于施工区洒水降尘；施工期设置临时防水旱厕，供施工人员使用，施工结束后清掏。</w:t>
            </w:r>
          </w:p>
          <w:p w14:paraId="66812A9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（3）噪声防治措施：优先选用低噪声施工设备；合理安排施工时间，禁止夜间（22:00至</w:t>
            </w:r>
            <w:bookmarkStart w:id="0" w:name="_GoBack"/>
            <w:bookmarkEnd w:id="0"/>
            <w:r>
              <w:rPr>
                <w:rFonts w:hint="eastAsia" w:ascii="仿宋_GB2312" w:hAnsi="仿宋_GB2312" w:eastAsia="仿宋_GB2312" w:cs="仿宋_GB2312"/>
                <w:color w:val="auto"/>
                <w:kern w:val="2"/>
                <w:sz w:val="21"/>
                <w:szCs w:val="21"/>
                <w:lang w:val="en-US" w:eastAsia="zh-CN" w:bidi="ar-SA"/>
              </w:rPr>
              <w:t>次日6:00）施工；合理布置施工区。</w:t>
            </w:r>
          </w:p>
          <w:p w14:paraId="75A9D49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仿宋_GB2312" w:hAnsi="仿宋_GB2312" w:eastAsia="仿宋_GB2312" w:cs="仿宋_GB2312"/>
                <w:color w:val="auto"/>
                <w:kern w:val="2"/>
                <w:sz w:val="21"/>
                <w:szCs w:val="21"/>
                <w:lang w:val="en-US" w:eastAsia="zh-CN" w:bidi="ar-SA"/>
              </w:rPr>
            </w:pP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4</w:t>
            </w:r>
            <w:r>
              <w:rPr>
                <w:rFonts w:hint="default" w:ascii="仿宋_GB2312" w:hAnsi="仿宋_GB2312" w:eastAsia="仿宋_GB2312" w:cs="仿宋_GB2312"/>
                <w:color w:val="auto"/>
                <w:kern w:val="2"/>
                <w:sz w:val="21"/>
                <w:szCs w:val="21"/>
                <w:lang w:val="en-US" w:eastAsia="zh-CN" w:bidi="ar-SA"/>
              </w:rPr>
              <w:t>）</w:t>
            </w:r>
            <w:r>
              <w:rPr>
                <w:rFonts w:hint="eastAsia" w:ascii="仿宋_GB2312" w:hAnsi="仿宋_GB2312" w:eastAsia="仿宋_GB2312" w:cs="仿宋_GB2312"/>
                <w:color w:val="auto"/>
                <w:kern w:val="2"/>
                <w:sz w:val="21"/>
                <w:szCs w:val="21"/>
                <w:lang w:val="en-US" w:eastAsia="zh-CN" w:bidi="ar-SA"/>
              </w:rPr>
              <w:t>固废防治措施：施工期剩余土方由施工单位及时清运至弃土场；建筑垃圾先进行充分回收利用，不能回收利用的运往当地政府指定的地点；施工人员生活垃圾经收集后送环卫部门统一处置。</w:t>
            </w:r>
          </w:p>
          <w:p w14:paraId="67B014F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5）生态环境：土方开挖时，应表土剥离单独堆放，其他土方分层堆放，堆放地点为水库占地范围内设置的临时堆料场，堆存过程中需及时进行苫盖；施工结束后，土方要分层回填，做好场地平整和弃土外运工作，恢复原有地貌，产生的弃土、废渣和建筑垃圾及时运至指定地点堆放、填埋、清理；做好动植物保护工作。</w:t>
            </w:r>
          </w:p>
          <w:p w14:paraId="417E4718">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运营期：</w:t>
            </w:r>
          </w:p>
          <w:p w14:paraId="6D681B8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运营期不产生废气和废水，主要污染物为噪声及固废。</w:t>
            </w:r>
          </w:p>
          <w:p w14:paraId="23EB7F5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（1）噪声防治措施：噪声主要为泵站和变压器设备噪声，泵站、变压器均为室内安装，本身噪声影响较小；泵站设备定期保养，减少机械过快老化导致的噪声。</w:t>
            </w:r>
          </w:p>
          <w:p w14:paraId="751DB97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eastAsia" w:ascii="仿宋_GB2312" w:hAnsi="仿宋_GB2312" w:eastAsia="仿宋_GB2312" w:cs="仿宋_GB2312"/>
                <w:color w:val="auto"/>
                <w:kern w:val="2"/>
                <w:sz w:val="21"/>
                <w:szCs w:val="21"/>
                <w:lang w:val="en-US" w:eastAsia="zh-CN" w:bidi="ar-SA"/>
              </w:rPr>
              <w:t>（2）固废防治措施：巡检人员产生的生活垃圾随手带走，不能乱丢乱弃于工程区及附近区域；泵站检修产生的废油由检修人员检修后用专用容器盛放并带走，交由有资质的单位进行处理，不在项目区域暂存。</w:t>
            </w:r>
          </w:p>
        </w:tc>
      </w:tr>
    </w:tbl>
    <w:p w14:paraId="33DC37EA">
      <w:pPr>
        <w:pStyle w:val="16"/>
        <w:ind w:firstLine="0" w:firstLineChars="0"/>
        <w:rPr>
          <w:rFonts w:hint="eastAsia" w:ascii="仿宋_GB2312" w:hAnsi="仿宋_GB2312" w:eastAsia="仿宋_GB2312" w:cs="仿宋_GB2312"/>
          <w:sz w:val="32"/>
          <w:szCs w:val="32"/>
        </w:rPr>
      </w:pPr>
    </w:p>
    <w:sectPr>
      <w:pgSz w:w="16838" w:h="11906" w:orient="landscape"/>
      <w:pgMar w:top="283" w:right="1157" w:bottom="283" w:left="93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AzNTI5M2I3YWYxZmY5YzUyYWE5NzkyYjE5MzAifQ=="/>
  </w:docVars>
  <w:rsids>
    <w:rsidRoot w:val="080E7B1F"/>
    <w:rsid w:val="002B2BE2"/>
    <w:rsid w:val="00407B3D"/>
    <w:rsid w:val="00506CDD"/>
    <w:rsid w:val="0210321C"/>
    <w:rsid w:val="025666DE"/>
    <w:rsid w:val="041A4B69"/>
    <w:rsid w:val="04CB4029"/>
    <w:rsid w:val="07B60F75"/>
    <w:rsid w:val="07BD7601"/>
    <w:rsid w:val="080E7B1F"/>
    <w:rsid w:val="08A76EF7"/>
    <w:rsid w:val="08B44B57"/>
    <w:rsid w:val="0A745713"/>
    <w:rsid w:val="0ACB0F75"/>
    <w:rsid w:val="0B731EED"/>
    <w:rsid w:val="0D164F83"/>
    <w:rsid w:val="0E6226F7"/>
    <w:rsid w:val="0EB54ECC"/>
    <w:rsid w:val="0F872CE8"/>
    <w:rsid w:val="1059048B"/>
    <w:rsid w:val="11100073"/>
    <w:rsid w:val="1285750E"/>
    <w:rsid w:val="14A0682A"/>
    <w:rsid w:val="1564628A"/>
    <w:rsid w:val="15FA74E9"/>
    <w:rsid w:val="16804237"/>
    <w:rsid w:val="16FB0F92"/>
    <w:rsid w:val="1784188A"/>
    <w:rsid w:val="181E54C4"/>
    <w:rsid w:val="1B09140A"/>
    <w:rsid w:val="1B5843F4"/>
    <w:rsid w:val="1B972A0D"/>
    <w:rsid w:val="1BBE30B8"/>
    <w:rsid w:val="1FBD5958"/>
    <w:rsid w:val="1FD255CD"/>
    <w:rsid w:val="210C5746"/>
    <w:rsid w:val="274026F8"/>
    <w:rsid w:val="27A96F47"/>
    <w:rsid w:val="29531520"/>
    <w:rsid w:val="2AE84B5C"/>
    <w:rsid w:val="2B054E4E"/>
    <w:rsid w:val="2C7D0568"/>
    <w:rsid w:val="2E7203C8"/>
    <w:rsid w:val="2FAA64AB"/>
    <w:rsid w:val="311779D7"/>
    <w:rsid w:val="32992A21"/>
    <w:rsid w:val="32DE2F9B"/>
    <w:rsid w:val="331B2029"/>
    <w:rsid w:val="33A40956"/>
    <w:rsid w:val="348A6935"/>
    <w:rsid w:val="366F7121"/>
    <w:rsid w:val="375564CF"/>
    <w:rsid w:val="37F92B6D"/>
    <w:rsid w:val="3A8A0CF6"/>
    <w:rsid w:val="3B9A4CFB"/>
    <w:rsid w:val="3D5B56FC"/>
    <w:rsid w:val="3E6071EC"/>
    <w:rsid w:val="3F7A7718"/>
    <w:rsid w:val="3FEE324A"/>
    <w:rsid w:val="40283D99"/>
    <w:rsid w:val="4157311A"/>
    <w:rsid w:val="418D716C"/>
    <w:rsid w:val="41D3159C"/>
    <w:rsid w:val="422505D8"/>
    <w:rsid w:val="424E44C8"/>
    <w:rsid w:val="45552E54"/>
    <w:rsid w:val="45CD2A1A"/>
    <w:rsid w:val="46433569"/>
    <w:rsid w:val="47163DD9"/>
    <w:rsid w:val="480B3280"/>
    <w:rsid w:val="48EB6321"/>
    <w:rsid w:val="49721BE6"/>
    <w:rsid w:val="49DD7760"/>
    <w:rsid w:val="4E065115"/>
    <w:rsid w:val="4E146C4B"/>
    <w:rsid w:val="4EB242E9"/>
    <w:rsid w:val="4F7A7C5B"/>
    <w:rsid w:val="51A807E4"/>
    <w:rsid w:val="53CA2DA6"/>
    <w:rsid w:val="541C0D00"/>
    <w:rsid w:val="55C5563B"/>
    <w:rsid w:val="55CA5EB7"/>
    <w:rsid w:val="5614122C"/>
    <w:rsid w:val="568A3BF9"/>
    <w:rsid w:val="59314455"/>
    <w:rsid w:val="5BF70B72"/>
    <w:rsid w:val="5CA139A4"/>
    <w:rsid w:val="5E177132"/>
    <w:rsid w:val="60E05C0B"/>
    <w:rsid w:val="61512E34"/>
    <w:rsid w:val="631445C1"/>
    <w:rsid w:val="639B42E9"/>
    <w:rsid w:val="63B757A8"/>
    <w:rsid w:val="6584425F"/>
    <w:rsid w:val="679E78B0"/>
    <w:rsid w:val="67B72A24"/>
    <w:rsid w:val="67D521D9"/>
    <w:rsid w:val="6831170C"/>
    <w:rsid w:val="686D054C"/>
    <w:rsid w:val="691A59EE"/>
    <w:rsid w:val="6A5817BE"/>
    <w:rsid w:val="6A864AC1"/>
    <w:rsid w:val="6AD02EDB"/>
    <w:rsid w:val="6E7853B1"/>
    <w:rsid w:val="6FD8457F"/>
    <w:rsid w:val="7069615F"/>
    <w:rsid w:val="70A90B19"/>
    <w:rsid w:val="70AF0C51"/>
    <w:rsid w:val="73377338"/>
    <w:rsid w:val="74360436"/>
    <w:rsid w:val="74664BAC"/>
    <w:rsid w:val="756B742A"/>
    <w:rsid w:val="75B33643"/>
    <w:rsid w:val="764B09F2"/>
    <w:rsid w:val="77C25799"/>
    <w:rsid w:val="780B6871"/>
    <w:rsid w:val="78C755C4"/>
    <w:rsid w:val="7984105F"/>
    <w:rsid w:val="7A15435B"/>
    <w:rsid w:val="7AC42B6F"/>
    <w:rsid w:val="7CE643A1"/>
    <w:rsid w:val="7DD81BC4"/>
    <w:rsid w:val="7E146E60"/>
    <w:rsid w:val="7F1F6B99"/>
    <w:rsid w:val="DE5FC1F6"/>
    <w:rsid w:val="E5FF6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customStyle="1" w:styleId="3">
    <w:name w:val="正文1"/>
    <w:basedOn w:val="1"/>
    <w:next w:val="1"/>
    <w:qFormat/>
    <w:uiPriority w:val="0"/>
    <w:pPr>
      <w:spacing w:line="360" w:lineRule="auto"/>
      <w:ind w:firstLine="480" w:firstLineChars="200"/>
    </w:pPr>
    <w:rPr>
      <w:kern w:val="0"/>
      <w:sz w:val="20"/>
      <w:szCs w:val="20"/>
    </w:rPr>
  </w:style>
  <w:style w:type="paragraph" w:styleId="4">
    <w:name w:val="annotation text"/>
    <w:basedOn w:val="1"/>
    <w:qFormat/>
    <w:uiPriority w:val="0"/>
    <w:pPr>
      <w:jc w:val="left"/>
    </w:pPr>
  </w:style>
  <w:style w:type="paragraph" w:styleId="5">
    <w:name w:val="Body Text"/>
    <w:basedOn w:val="1"/>
    <w:next w:val="6"/>
    <w:qFormat/>
    <w:uiPriority w:val="0"/>
    <w:pPr>
      <w:spacing w:line="520" w:lineRule="exact"/>
      <w:ind w:firstLine="200" w:firstLineChars="200"/>
    </w:pPr>
    <w:rPr>
      <w:sz w:val="28"/>
    </w:rPr>
  </w:style>
  <w:style w:type="paragraph" w:customStyle="1" w:styleId="6">
    <w:name w:val="Date1"/>
    <w:basedOn w:val="1"/>
    <w:next w:val="1"/>
    <w:qFormat/>
    <w:uiPriority w:val="0"/>
    <w:pPr>
      <w:adjustRightInd w:val="0"/>
      <w:jc w:val="left"/>
      <w:textAlignment w:val="baseline"/>
    </w:pPr>
    <w:rPr>
      <w:rFonts w:ascii="宋体" w:hAnsi="宋体"/>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index heading"/>
    <w:basedOn w:val="1"/>
    <w:next w:val="9"/>
    <w:qFormat/>
    <w:uiPriority w:val="0"/>
    <w:rPr>
      <w:rFonts w:ascii="Arial" w:hAnsi="Arial"/>
      <w:b/>
    </w:rPr>
  </w:style>
  <w:style w:type="paragraph" w:styleId="9">
    <w:name w:val="index 1"/>
    <w:basedOn w:val="1"/>
    <w:next w:val="1"/>
    <w:qFormat/>
    <w:uiPriority w:val="0"/>
    <w:pPr>
      <w:adjustRightInd w:val="0"/>
      <w:spacing w:line="240" w:lineRule="atLeast"/>
      <w:jc w:val="center"/>
      <w:textAlignment w:val="baseline"/>
    </w:pPr>
    <w:rPr>
      <w:rFonts w:ascii="宋体" w:hAnsi="宋体"/>
      <w:kern w:val="0"/>
    </w:rPr>
  </w:style>
  <w:style w:type="paragraph" w:styleId="10">
    <w:name w:val="Body Text First Indent 2"/>
    <w:basedOn w:val="1"/>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paragraph" w:customStyle="1" w:styleId="15">
    <w:name w:val="章标题"/>
    <w:next w:val="16"/>
    <w:qFormat/>
    <w:uiPriority w:val="0"/>
    <w:pPr>
      <w:spacing w:beforeLines="100" w:afterLines="100" w:line="360" w:lineRule="auto"/>
      <w:ind w:firstLine="200" w:firstLineChars="200"/>
      <w:jc w:val="both"/>
      <w:outlineLvl w:val="1"/>
    </w:pPr>
    <w:rPr>
      <w:rFonts w:ascii="黑体" w:hAnsi="Calibri" w:eastAsia="黑体" w:cs="Times New Roman"/>
      <w:sz w:val="21"/>
      <w:szCs w:val="21"/>
      <w:lang w:val="en-US" w:eastAsia="zh-CN" w:bidi="ar-SA"/>
    </w:rPr>
  </w:style>
  <w:style w:type="paragraph" w:customStyle="1" w:styleId="16">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val="en-US" w:eastAsia="zh-CN" w:bidi="ar-SA"/>
    </w:rPr>
  </w:style>
  <w:style w:type="paragraph" w:customStyle="1" w:styleId="17">
    <w:name w:val="Default"/>
    <w:basedOn w:val="1"/>
    <w:next w:val="8"/>
    <w:qFormat/>
    <w:uiPriority w:val="0"/>
    <w:pPr>
      <w:autoSpaceDE w:val="0"/>
      <w:autoSpaceDN w:val="0"/>
      <w:adjustRightInd w:val="0"/>
      <w:jc w:val="left"/>
    </w:pPr>
    <w:rPr>
      <w:rFonts w:hint="eastAsia" w:ascii="宋体"/>
      <w:color w:val="000000"/>
      <w:kern w:val="0"/>
      <w:sz w:val="24"/>
    </w:rPr>
  </w:style>
  <w:style w:type="paragraph" w:customStyle="1" w:styleId="18">
    <w:name w:val="正文（缩进）"/>
    <w:basedOn w:val="19"/>
    <w:next w:val="1"/>
    <w:qFormat/>
    <w:uiPriority w:val="99"/>
    <w:pPr>
      <w:tabs>
        <w:tab w:val="left" w:pos="4584"/>
      </w:tabs>
      <w:spacing w:line="360" w:lineRule="auto"/>
      <w:ind w:firstLine="480" w:firstLineChars="200"/>
    </w:pPr>
    <w:rPr>
      <w:sz w:val="24"/>
    </w:rPr>
  </w:style>
  <w:style w:type="paragraph" w:customStyle="1" w:styleId="19">
    <w:name w:val="正文(首行缩进)"/>
    <w:basedOn w:val="1"/>
    <w:qFormat/>
    <w:uiPriority w:val="0"/>
    <w:pPr>
      <w:tabs>
        <w:tab w:val="left" w:pos="4584"/>
      </w:tabs>
      <w:adjustRightInd w:val="0"/>
      <w:snapToGrid w:val="0"/>
      <w:jc w:val="center"/>
    </w:pPr>
    <w:rPr>
      <w:rFonts w:ascii="宋体" w:hAnsi="宋体"/>
      <w:snapToGrid w:val="0"/>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1312</Words>
  <Characters>1471</Characters>
  <Lines>6</Lines>
  <Paragraphs>1</Paragraphs>
  <TotalTime>10</TotalTime>
  <ScaleCrop>false</ScaleCrop>
  <LinksUpToDate>false</LinksUpToDate>
  <CharactersWithSpaces>1471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2021-01-14T21:57:00Z</dcterms:created>
  <dc:creator>Administrator</dc:creator>
  <cp:lastModifiedBy>铃铛</cp:lastModifiedBy>
  <dcterms:modified xsi:type="dcterms:W3CDTF">2025-05-23T08:28:39Z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6928EC75988445A4AF9619E2A733752D_13</vt:lpwstr>
  </property>
  <property fmtid="{D5CDD505-2E9C-101B-9397-08002B2CF9AE}" pid="4" name="KSOTemplateDocerSaveRecord">
    <vt:lpwstr>eyJoZGlkIjoiMWMwMTZiZWEwZTRlMTBkMjA3MjFmZmE1NjgxZWU5ZDYiLCJ1c2VySWQiOiI3NjUyODczMzUifQ==</vt:lpwstr>
  </property>
</Properties>
</file>