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8EA43">
      <w:pPr>
        <w:widowControl/>
        <w:shd w:val="clear" w:color="auto" w:fill="FFFFFF"/>
        <w:spacing w:line="600" w:lineRule="exact"/>
        <w:jc w:val="center"/>
        <w:rPr>
          <w:rFonts w:ascii="方正小标宋_GBK" w:hAnsi="方正小标宋_GBK" w:eastAsia="方正小标宋_GBK" w:cs="方正小标宋_GBK"/>
          <w:color w:val="292929"/>
          <w:kern w:val="0"/>
          <w:sz w:val="36"/>
          <w:szCs w:val="36"/>
        </w:rPr>
      </w:pPr>
      <w:r>
        <w:rPr>
          <w:rFonts w:hint="eastAsia" w:ascii="方正小标宋_GBK" w:hAnsi="方正小标宋_GBK" w:eastAsia="方正小标宋_GBK" w:cs="方正小标宋_GBK"/>
          <w:color w:val="292929"/>
          <w:kern w:val="0"/>
          <w:sz w:val="36"/>
          <w:szCs w:val="36"/>
        </w:rPr>
        <w:t>建设项目环境影响评价文件拟进行审查审批的公示</w:t>
      </w:r>
    </w:p>
    <w:tbl>
      <w:tblPr>
        <w:tblStyle w:val="11"/>
        <w:tblpPr w:leftFromText="180" w:rightFromText="180" w:vertAnchor="text" w:horzAnchor="page" w:tblpX="981" w:tblpY="590"/>
        <w:tblOverlap w:val="never"/>
        <w:tblW w:w="14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50"/>
        <w:gridCol w:w="855"/>
        <w:gridCol w:w="825"/>
        <w:gridCol w:w="1095"/>
        <w:gridCol w:w="3540"/>
        <w:gridCol w:w="7215"/>
      </w:tblGrid>
      <w:tr w14:paraId="0438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5" w:type="dxa"/>
            <w:vAlign w:val="center"/>
          </w:tcPr>
          <w:p w14:paraId="3FDD8BF0">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850" w:type="dxa"/>
            <w:vAlign w:val="center"/>
          </w:tcPr>
          <w:p w14:paraId="2BA5E37C">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855" w:type="dxa"/>
            <w:vAlign w:val="center"/>
          </w:tcPr>
          <w:p w14:paraId="1B651369">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建设地点</w:t>
            </w:r>
          </w:p>
        </w:tc>
        <w:tc>
          <w:tcPr>
            <w:tcW w:w="825" w:type="dxa"/>
            <w:vAlign w:val="center"/>
          </w:tcPr>
          <w:p w14:paraId="31C51F65">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建设单位</w:t>
            </w:r>
          </w:p>
        </w:tc>
        <w:tc>
          <w:tcPr>
            <w:tcW w:w="1095" w:type="dxa"/>
            <w:vAlign w:val="center"/>
          </w:tcPr>
          <w:p w14:paraId="3F2F6A3E">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环境影响评价机构</w:t>
            </w:r>
          </w:p>
        </w:tc>
        <w:tc>
          <w:tcPr>
            <w:tcW w:w="3540" w:type="dxa"/>
            <w:vAlign w:val="center"/>
          </w:tcPr>
          <w:p w14:paraId="03E8001C">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建设项目概况</w:t>
            </w:r>
          </w:p>
        </w:tc>
        <w:tc>
          <w:tcPr>
            <w:tcW w:w="7215" w:type="dxa"/>
            <w:vAlign w:val="center"/>
          </w:tcPr>
          <w:p w14:paraId="4F4C8641">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主要环境影响及预防或者减轻不良环境影响的对策和措施</w:t>
            </w:r>
          </w:p>
        </w:tc>
      </w:tr>
      <w:tr w14:paraId="3F95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1" w:hRule="atLeast"/>
        </w:trPr>
        <w:tc>
          <w:tcPr>
            <w:tcW w:w="375" w:type="dxa"/>
            <w:vAlign w:val="center"/>
          </w:tcPr>
          <w:p w14:paraId="620401C4">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p>
        </w:tc>
        <w:tc>
          <w:tcPr>
            <w:tcW w:w="850" w:type="dxa"/>
            <w:shd w:val="clear" w:color="auto" w:fill="auto"/>
            <w:vAlign w:val="center"/>
          </w:tcPr>
          <w:p w14:paraId="6D93316B">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海原县七营镇七营村生活污水处理站改扩建项目</w:t>
            </w:r>
          </w:p>
        </w:tc>
        <w:tc>
          <w:tcPr>
            <w:tcW w:w="855" w:type="dxa"/>
            <w:shd w:val="clear" w:color="auto" w:fill="auto"/>
            <w:vAlign w:val="center"/>
          </w:tcPr>
          <w:p w14:paraId="403E918B">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海原县七营镇七营村</w:t>
            </w:r>
          </w:p>
        </w:tc>
        <w:tc>
          <w:tcPr>
            <w:tcW w:w="825" w:type="dxa"/>
            <w:shd w:val="clear" w:color="auto" w:fill="auto"/>
            <w:vAlign w:val="center"/>
          </w:tcPr>
          <w:p w14:paraId="419FC89D">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海原县生态环境监测站</w:t>
            </w:r>
          </w:p>
        </w:tc>
        <w:tc>
          <w:tcPr>
            <w:tcW w:w="1095" w:type="dxa"/>
            <w:shd w:val="clear" w:color="auto" w:fill="auto"/>
            <w:vAlign w:val="center"/>
          </w:tcPr>
          <w:p w14:paraId="571489BA">
            <w:pPr>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众旺达（宁夏）技术咨询有限公司</w:t>
            </w:r>
          </w:p>
        </w:tc>
        <w:tc>
          <w:tcPr>
            <w:tcW w:w="3540" w:type="dxa"/>
            <w:vAlign w:val="center"/>
          </w:tcPr>
          <w:p w14:paraId="0424D287">
            <w:pPr>
              <w:jc w:val="center"/>
              <w:rPr>
                <w:rFonts w:hint="default" w:ascii="Times New Roman" w:hAnsi="Times New Roman" w:eastAsia="仿宋_GB2312" w:cs="Times New Roman"/>
                <w:bCs/>
                <w:color w:val="000000"/>
                <w:sz w:val="24"/>
                <w:lang w:val="en-US" w:eastAsia="zh-CN"/>
              </w:rPr>
            </w:pPr>
            <w:r>
              <w:rPr>
                <w:rFonts w:hint="default" w:ascii="Times New Roman" w:hAnsi="Times New Roman" w:eastAsia="仿宋_GB2312" w:cs="Times New Roman"/>
                <w:bCs/>
                <w:color w:val="000000"/>
                <w:sz w:val="24"/>
                <w:lang w:val="en-US" w:eastAsia="zh-CN"/>
              </w:rPr>
              <w:t>本项目</w:t>
            </w:r>
            <w:r>
              <w:rPr>
                <w:rFonts w:hint="eastAsia" w:ascii="Times New Roman" w:hAnsi="Times New Roman" w:eastAsia="仿宋_GB2312" w:cs="Times New Roman"/>
                <w:bCs/>
                <w:color w:val="000000"/>
                <w:sz w:val="24"/>
                <w:lang w:val="en-US" w:eastAsia="zh-CN"/>
              </w:rPr>
              <w:t>位于海原县七营镇七营村，</w:t>
            </w:r>
            <w:r>
              <w:rPr>
                <w:rFonts w:hint="default" w:ascii="Times New Roman" w:hAnsi="Times New Roman" w:eastAsia="仿宋_GB2312" w:cs="Times New Roman"/>
                <w:color w:val="auto"/>
                <w:kern w:val="2"/>
                <w:sz w:val="24"/>
                <w:szCs w:val="24"/>
                <w:lang w:val="en-US" w:eastAsia="zh-CN" w:bidi="ar-SA"/>
              </w:rPr>
              <w:t>地理位置东经10</w:t>
            </w:r>
            <w:r>
              <w:rPr>
                <w:rFonts w:hint="eastAsia" w:ascii="Times New Roman" w:hAnsi="Times New Roman" w:eastAsia="仿宋_GB2312" w:cs="Times New Roman"/>
                <w:color w:val="auto"/>
                <w:kern w:val="2"/>
                <w:sz w:val="24"/>
                <w:szCs w:val="24"/>
                <w:lang w:val="en-US" w:eastAsia="zh-CN" w:bidi="ar-SA"/>
              </w:rPr>
              <w:t>6</w:t>
            </w:r>
            <w:r>
              <w:rPr>
                <w:rFonts w:hint="default" w:ascii="Times New Roman" w:hAnsi="Times New Roman" w:eastAsia="仿宋_GB2312" w:cs="Times New Roman"/>
                <w:color w:val="auto"/>
                <w:kern w:val="2"/>
                <w:sz w:val="24"/>
                <w:szCs w:val="24"/>
                <w:lang w:val="en-US" w:eastAsia="zh-CN" w:bidi="ar-SA"/>
              </w:rPr>
              <w:t>°</w:t>
            </w:r>
            <w:r>
              <w:rPr>
                <w:rFonts w:hint="eastAsia" w:ascii="Times New Roman" w:hAnsi="Times New Roman" w:eastAsia="仿宋_GB2312" w:cs="Times New Roman"/>
                <w:color w:val="auto"/>
                <w:kern w:val="2"/>
                <w:sz w:val="24"/>
                <w:szCs w:val="24"/>
                <w:lang w:val="en-US" w:eastAsia="zh-CN" w:bidi="ar-SA"/>
              </w:rPr>
              <w:t>9</w:t>
            </w:r>
            <w:r>
              <w:rPr>
                <w:rFonts w:hint="default" w:ascii="Times New Roman" w:hAnsi="Times New Roman" w:eastAsia="仿宋_GB2312" w:cs="Times New Roman"/>
                <w:color w:val="auto"/>
                <w:kern w:val="2"/>
                <w:sz w:val="24"/>
                <w:szCs w:val="24"/>
                <w:lang w:val="en-US" w:eastAsia="zh-CN" w:bidi="ar-SA"/>
              </w:rPr>
              <w:t>′</w:t>
            </w:r>
            <w:r>
              <w:rPr>
                <w:rFonts w:hint="eastAsia" w:ascii="Times New Roman" w:hAnsi="Times New Roman" w:eastAsia="仿宋_GB2312" w:cs="Times New Roman"/>
                <w:color w:val="auto"/>
                <w:kern w:val="2"/>
                <w:sz w:val="24"/>
                <w:szCs w:val="24"/>
                <w:lang w:val="en-US" w:eastAsia="zh-CN" w:bidi="ar-SA"/>
              </w:rPr>
              <w:t>8.512</w:t>
            </w:r>
            <w:r>
              <w:rPr>
                <w:rFonts w:hint="default" w:ascii="Times New Roman" w:hAnsi="Times New Roman" w:eastAsia="仿宋_GB2312" w:cs="Times New Roman"/>
                <w:color w:val="auto"/>
                <w:kern w:val="2"/>
                <w:sz w:val="24"/>
                <w:szCs w:val="24"/>
                <w:lang w:val="en-US" w:eastAsia="zh-CN" w:bidi="ar-SA"/>
              </w:rPr>
              <w:t>″，北纬36°</w:t>
            </w:r>
            <w:r>
              <w:rPr>
                <w:rFonts w:hint="eastAsia" w:ascii="Times New Roman" w:hAnsi="Times New Roman" w:eastAsia="仿宋_GB2312" w:cs="Times New Roman"/>
                <w:color w:val="auto"/>
                <w:kern w:val="2"/>
                <w:sz w:val="24"/>
                <w:szCs w:val="24"/>
                <w:lang w:val="en-US" w:eastAsia="zh-CN" w:bidi="ar-SA"/>
              </w:rPr>
              <w:t>31</w:t>
            </w:r>
            <w:r>
              <w:rPr>
                <w:rFonts w:hint="default" w:ascii="Times New Roman" w:hAnsi="Times New Roman" w:eastAsia="仿宋_GB2312" w:cs="Times New Roman"/>
                <w:color w:val="auto"/>
                <w:kern w:val="2"/>
                <w:sz w:val="24"/>
                <w:szCs w:val="24"/>
                <w:lang w:val="en-US" w:eastAsia="zh-CN" w:bidi="ar-SA"/>
              </w:rPr>
              <w:t>′</w:t>
            </w:r>
            <w:r>
              <w:rPr>
                <w:rFonts w:hint="eastAsia" w:ascii="Times New Roman" w:hAnsi="Times New Roman" w:eastAsia="仿宋_GB2312" w:cs="Times New Roman"/>
                <w:color w:val="auto"/>
                <w:kern w:val="2"/>
                <w:sz w:val="24"/>
                <w:szCs w:val="24"/>
                <w:lang w:val="en-US" w:eastAsia="zh-CN" w:bidi="ar-SA"/>
              </w:rPr>
              <w:t>16.600</w:t>
            </w:r>
            <w:r>
              <w:rPr>
                <w:rFonts w:hint="default" w:ascii="Times New Roman" w:hAnsi="Times New Roman" w:eastAsia="仿宋_GB2312" w:cs="Times New Roman"/>
                <w:color w:val="auto"/>
                <w:kern w:val="2"/>
                <w:sz w:val="24"/>
                <w:szCs w:val="24"/>
                <w:lang w:val="en-US" w:eastAsia="zh-CN" w:bidi="ar-SA"/>
              </w:rPr>
              <w:t>″</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项目代码为2404-640522-16-05-401854</w:t>
            </w:r>
            <w:r>
              <w:rPr>
                <w:rFonts w:hint="eastAsia" w:ascii="Times New Roman" w:hAnsi="Times New Roman" w:eastAsia="仿宋_GB2312" w:cs="Times New Roman"/>
                <w:color w:val="auto"/>
                <w:kern w:val="2"/>
                <w:sz w:val="24"/>
                <w:szCs w:val="24"/>
                <w:lang w:val="en-US" w:eastAsia="zh-CN" w:bidi="ar-SA"/>
              </w:rPr>
              <w:t>，</w:t>
            </w:r>
          </w:p>
          <w:p w14:paraId="5D7F610E">
            <w:pPr>
              <w:jc w:val="center"/>
              <w:rPr>
                <w:rFonts w:hint="default" w:ascii="仿宋_GB2312" w:hAnsi="仿宋_GB2312" w:eastAsia="仿宋_GB2312" w:cs="仿宋_GB2312"/>
                <w:color w:val="auto"/>
                <w:kern w:val="2"/>
                <w:sz w:val="24"/>
                <w:szCs w:val="24"/>
                <w:lang w:val="en-US" w:eastAsia="zh-CN" w:bidi="ar-SA"/>
              </w:rPr>
            </w:pPr>
            <w:r>
              <w:rPr>
                <w:rFonts w:hint="eastAsia" w:ascii="Times New Roman" w:hAnsi="Times New Roman" w:eastAsia="仿宋_GB2312" w:cs="Times New Roman"/>
                <w:bCs/>
                <w:color w:val="000000"/>
                <w:sz w:val="24"/>
                <w:lang w:val="en-US" w:eastAsia="zh-CN"/>
              </w:rPr>
              <w:t>本次建设1座总处理规模为600m</w:t>
            </w:r>
            <w:r>
              <w:rPr>
                <w:rFonts w:hint="eastAsia" w:ascii="Times New Roman" w:hAnsi="Times New Roman" w:eastAsia="仿宋_GB2312" w:cs="Times New Roman"/>
                <w:bCs/>
                <w:color w:val="000000"/>
                <w:sz w:val="24"/>
                <w:vertAlign w:val="superscript"/>
                <w:lang w:val="en-US" w:eastAsia="zh-CN"/>
              </w:rPr>
              <w:t>3</w:t>
            </w:r>
            <w:r>
              <w:rPr>
                <w:rFonts w:hint="eastAsia" w:ascii="Times New Roman" w:hAnsi="Times New Roman" w:eastAsia="仿宋_GB2312" w:cs="Times New Roman"/>
                <w:bCs/>
                <w:color w:val="000000"/>
                <w:sz w:val="24"/>
                <w:lang w:val="en-US" w:eastAsia="zh-CN"/>
              </w:rPr>
              <w:t>/d（新建1座300m</w:t>
            </w:r>
            <w:r>
              <w:rPr>
                <w:rFonts w:hint="eastAsia" w:ascii="Times New Roman" w:hAnsi="Times New Roman" w:eastAsia="仿宋_GB2312" w:cs="Times New Roman"/>
                <w:bCs/>
                <w:color w:val="000000"/>
                <w:sz w:val="24"/>
                <w:vertAlign w:val="superscript"/>
                <w:lang w:val="en-US" w:eastAsia="zh-CN"/>
              </w:rPr>
              <w:t>3</w:t>
            </w:r>
            <w:r>
              <w:rPr>
                <w:rFonts w:hint="eastAsia" w:ascii="Times New Roman" w:hAnsi="Times New Roman" w:eastAsia="仿宋_GB2312" w:cs="Times New Roman"/>
                <w:bCs/>
                <w:color w:val="000000"/>
                <w:sz w:val="24"/>
                <w:lang w:val="en-US" w:eastAsia="zh-CN"/>
              </w:rPr>
              <w:t>/d，迁建1座300m</w:t>
            </w:r>
            <w:r>
              <w:rPr>
                <w:rFonts w:hint="eastAsia" w:ascii="Times New Roman" w:hAnsi="Times New Roman" w:eastAsia="仿宋_GB2312" w:cs="Times New Roman"/>
                <w:bCs/>
                <w:color w:val="000000"/>
                <w:sz w:val="24"/>
                <w:vertAlign w:val="superscript"/>
                <w:lang w:val="en-US" w:eastAsia="zh-CN"/>
              </w:rPr>
              <w:t>3</w:t>
            </w:r>
            <w:r>
              <w:rPr>
                <w:rFonts w:hint="eastAsia" w:ascii="Times New Roman" w:hAnsi="Times New Roman" w:eastAsia="仿宋_GB2312" w:cs="Times New Roman"/>
                <w:bCs/>
                <w:color w:val="000000"/>
                <w:sz w:val="24"/>
                <w:lang w:val="en-US" w:eastAsia="zh-CN"/>
              </w:rPr>
              <w:t>/d）的生活污水处理站，主要收集处理</w:t>
            </w:r>
            <w:r>
              <w:rPr>
                <w:rFonts w:hint="default" w:ascii="Times New Roman" w:hAnsi="Times New Roman" w:eastAsia="仿宋_GB2312" w:cs="Times New Roman"/>
                <w:bCs/>
                <w:color w:val="000000"/>
                <w:sz w:val="24"/>
                <w:lang w:val="en-US" w:eastAsia="zh-CN"/>
              </w:rPr>
              <w:t>七营村1组、七营村2组、七营4组、集镇个体户、商铺、七营第一小学、七营中学、七营幼儿园、七营镇政府、七营镇派出所、移民点、七营镇三小、七营卫生院、七营第二小学等产生的生活污水，服务人口约11928人</w:t>
            </w:r>
            <w:r>
              <w:rPr>
                <w:rFonts w:hint="eastAsia" w:ascii="Times New Roman" w:hAnsi="Times New Roman" w:eastAsia="仿宋_GB2312" w:cs="Times New Roman"/>
                <w:bCs/>
                <w:color w:val="000000"/>
                <w:sz w:val="24"/>
                <w:lang w:val="en-US" w:eastAsia="zh-CN"/>
              </w:rPr>
              <w:t>，本工程总投资975.48万元，全部为环保投资。</w:t>
            </w:r>
          </w:p>
        </w:tc>
        <w:tc>
          <w:tcPr>
            <w:tcW w:w="7215" w:type="dxa"/>
            <w:vAlign w:val="center"/>
          </w:tcPr>
          <w:p w14:paraId="5B5031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主要环境影响</w:t>
            </w:r>
            <w:r>
              <w:rPr>
                <w:rFonts w:hint="eastAsia" w:ascii="仿宋_GB2312" w:hAnsi="仿宋_GB2312" w:eastAsia="仿宋_GB2312" w:cs="仿宋_GB2312"/>
                <w:color w:val="auto"/>
                <w:kern w:val="2"/>
                <w:sz w:val="24"/>
                <w:szCs w:val="24"/>
                <w:lang w:val="en-US" w:eastAsia="zh-CN" w:bidi="ar-SA"/>
              </w:rPr>
              <w:t>：</w:t>
            </w:r>
          </w:p>
          <w:p w14:paraId="23F0E95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b/>
                <w:bCs/>
                <w:color w:val="000000"/>
                <w:kern w:val="2"/>
                <w:sz w:val="24"/>
                <w:szCs w:val="24"/>
                <w:lang w:val="en-US" w:eastAsia="zh-CN" w:bidi="ar-SA"/>
              </w:rPr>
              <w:t>1、</w:t>
            </w:r>
            <w:r>
              <w:rPr>
                <w:rFonts w:hint="default" w:ascii="Times New Roman" w:hAnsi="Times New Roman" w:eastAsia="仿宋_GB2312" w:cs="Times New Roman"/>
                <w:b/>
                <w:bCs/>
                <w:color w:val="000000"/>
                <w:kern w:val="2"/>
                <w:sz w:val="24"/>
                <w:szCs w:val="24"/>
                <w:lang w:val="en-US" w:eastAsia="zh-CN" w:bidi="ar-SA"/>
              </w:rPr>
              <w:t>施工期</w:t>
            </w:r>
            <w:r>
              <w:rPr>
                <w:rFonts w:hint="eastAsia" w:ascii="Times New Roman" w:hAnsi="Times New Roman" w:eastAsia="仿宋_GB2312" w:cs="Times New Roman"/>
                <w:b/>
                <w:bCs/>
                <w:color w:val="000000"/>
                <w:kern w:val="2"/>
                <w:sz w:val="24"/>
                <w:szCs w:val="24"/>
                <w:lang w:val="en-US" w:eastAsia="zh-CN" w:bidi="ar-SA"/>
              </w:rPr>
              <w:t>：</w:t>
            </w:r>
            <w:r>
              <w:rPr>
                <w:rFonts w:hint="default" w:ascii="Times New Roman" w:hAnsi="Times New Roman" w:eastAsia="仿宋_GB2312" w:cs="Times New Roman"/>
                <w:color w:val="000000"/>
                <w:kern w:val="2"/>
                <w:sz w:val="24"/>
                <w:szCs w:val="24"/>
                <w:lang w:val="en-US" w:eastAsia="zh-CN" w:bidi="ar-SA"/>
              </w:rPr>
              <w:t>施工材料如砂子等在其装卸、运输等过程中，因风力作用而产生扬尘污染；运输车辆往来造成地面扬尘。施工期应采取如下扬尘防治措施：①合理规划施工进度及施工时间，安排专用洒水设备，对平整前后的场地进行洒水抑尘；②项目施工边界应设置围挡，对原辅材料进行遮盖、使用商品混凝土等有效防尘措施；③建筑材料堆放场地应合理规划，集中堆放，有风天气采取篷布遮盖，并采取洒水措施；④施工工地运输车辆驶出施工区前必须作除泥除尘处理，严禁车轮带泥的车辆上路行驶，运输土方等易产生扬尘污染的车辆，应当实行密闭运输，严禁撒漏；⑤建筑垃圾及时清运或采取封闭、遮盖等有效防治措施；⑥在不利气象条件（大风条件）下，建设施工方应暂时停止土方开挖等作业，并采取洒水抑尘等有效措施，防止扬尘污染；⑦工程完工以后，应对裸露地面采取绿化或者覆盖等有效防尘措施；施工期通过采取上述防治措施，可有效控制施工扬尘对周围环境的影响，且随着施工期的结束，该影响也会随之消失。</w:t>
            </w:r>
          </w:p>
          <w:p w14:paraId="09D24CC2">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施工期噪声主要为施工机械运行产生的机械噪声以及车辆运输时产生的交通噪声。施工阶段施工机械一般为室内作业，通过建筑物墙体阻挡和距离衰减等措施治理后施工噪声对周围环境影响较小。</w:t>
            </w:r>
          </w:p>
          <w:p w14:paraId="4FB282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施工单位应采取以下防治措施：①优先选用低噪声施工机械，合理安排施工时间；②合理优化施工工艺，采用静压打桩方式；③施工现场设置禁止鸣笛、慢行标志牌及车辆指引牌；④同一施工地点应避免安排大量动力机械设备，以免局部累积声级过高；⑤固定施工机械设备可通过安装排气管消声器和隔离发动机振动部件的方法降低噪声；对动力机械设备进行定期的维修、养护，设备用完后或不用时应立即关闭；⑥加强管理，文明施工，建筑器械、材料轻拿轻放，尽量减少人为噪声。</w:t>
            </w:r>
          </w:p>
          <w:p w14:paraId="11EAEA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施工期不设施工生活营地，建设场地设置1所旱厕，定期清掏用作周边中种植基地做肥料；施工期间的砂浆搅拌机用水、砖瓦、土方等建筑物料喷洒水及少量的机械泥浆污水，主要污染因子为SS，施工场地设置临时沉淀池，经沉淀澄清后用于施工场地喷洒抑尘，循环利用不外排。</w:t>
            </w:r>
          </w:p>
          <w:p w14:paraId="238CBD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施工期</w:t>
            </w:r>
            <w:r>
              <w:rPr>
                <w:rFonts w:hint="default" w:ascii="Times New Roman" w:hAnsi="Times New Roman" w:eastAsia="仿宋_GB2312" w:cs="Times New Roman"/>
                <w:color w:val="000000"/>
                <w:kern w:val="2"/>
                <w:sz w:val="24"/>
                <w:szCs w:val="24"/>
                <w:lang w:val="en-US" w:eastAsia="zh-CN" w:bidi="ar-SA"/>
              </w:rPr>
              <w:t>不设施工生活区，生活垃圾主要为施工人员食物包装袋，由施工人员集中收集后带走。</w:t>
            </w:r>
          </w:p>
          <w:p w14:paraId="4102AB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施工期固体废物主要为建筑施工活动产生如废设备包装等建筑垃圾。项目施工期应采取以下防治措施：不得随意倾倒或堆放建筑垃圾，废弃在施工现场的余料要及时回收；施工产生的建筑垃圾须及时清运至市政规定的建筑垃圾堆放点。</w:t>
            </w:r>
          </w:p>
          <w:p w14:paraId="16E27A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1" w:firstLineChars="100"/>
              <w:textAlignment w:val="auto"/>
              <w:rPr>
                <w:rFonts w:hint="eastAsia" w:ascii="Times New Roman" w:hAnsi="Times New Roman" w:eastAsia="仿宋_GB2312" w:cs="Times New Roman"/>
                <w:bCs/>
                <w:color w:val="000000"/>
                <w:sz w:val="24"/>
                <w:lang w:val="en-US" w:eastAsia="zh-CN"/>
              </w:rPr>
            </w:pPr>
            <w:r>
              <w:rPr>
                <w:rFonts w:hint="eastAsia" w:ascii="Times New Roman" w:hAnsi="Times New Roman" w:eastAsia="仿宋_GB2312" w:cs="Times New Roman"/>
                <w:b/>
                <w:bCs/>
                <w:color w:val="000000"/>
                <w:kern w:val="2"/>
                <w:sz w:val="24"/>
                <w:szCs w:val="24"/>
                <w:lang w:val="en-US" w:eastAsia="zh-CN" w:bidi="ar-SA"/>
              </w:rPr>
              <w:t>2、运营期：</w:t>
            </w:r>
            <w:r>
              <w:rPr>
                <w:rFonts w:hint="eastAsia" w:ascii="Times New Roman" w:hAnsi="Times New Roman" w:eastAsia="仿宋_GB2312" w:cs="Times New Roman"/>
                <w:color w:val="000000"/>
                <w:kern w:val="2"/>
                <w:sz w:val="24"/>
                <w:szCs w:val="24"/>
                <w:lang w:val="en-US" w:eastAsia="zh-CN" w:bidi="ar-SA"/>
              </w:rPr>
              <w:t>项目运营期主要为运营过程中产生的废气、噪声及固废，由于本项目厂区内不涉办公生活区，</w:t>
            </w:r>
            <w:r>
              <w:rPr>
                <w:rFonts w:hint="eastAsia" w:ascii="Times New Roman" w:hAnsi="Times New Roman" w:eastAsia="仿宋_GB2312" w:cs="Times New Roman"/>
                <w:bCs/>
                <w:color w:val="000000"/>
                <w:sz w:val="24"/>
                <w:lang w:val="en-US" w:eastAsia="zh-CN"/>
              </w:rPr>
              <w:t>仅安排人员定期巡检，人员均为当地人员，因此项目本身无废水产生。</w:t>
            </w:r>
          </w:p>
          <w:p w14:paraId="34CE4A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_GB2312" w:cs="Times New Roman"/>
                <w:bCs/>
                <w:color w:val="000000"/>
                <w:sz w:val="24"/>
                <w:lang w:val="en-US" w:eastAsia="zh-CN"/>
              </w:rPr>
            </w:pPr>
            <w:r>
              <w:rPr>
                <w:rFonts w:hint="eastAsia" w:ascii="Times New Roman" w:hAnsi="Times New Roman" w:eastAsia="仿宋_GB2312" w:cs="Times New Roman"/>
                <w:bCs/>
                <w:color w:val="000000"/>
                <w:sz w:val="24"/>
                <w:lang w:val="en-US" w:eastAsia="zh-CN"/>
              </w:rPr>
              <w:t>运营期各池体产生的废气收集后采用1套生物除臭装置处理后通过1根15m高排气筒排放，未收集的通过无组织排放；运营过程中产生的废包装、在线监测废液、设备检修过程中产生的废机油，含油抹布等集中收集后暂存在厂区设置的危废贮存点，定期交有资质单位处置，产生的污泥经过叠螺机处理后交海兴开发区污水处理厂进行脱水处理；选用低噪声设备，基础减震措施等措施可有效降低噪声。</w:t>
            </w:r>
            <w:bookmarkStart w:id="0" w:name="_GoBack"/>
            <w:bookmarkEnd w:id="0"/>
          </w:p>
          <w:p w14:paraId="6A3ED0CC">
            <w:pPr>
              <w:jc w:val="center"/>
              <w:rPr>
                <w:rFonts w:hint="default" w:ascii="仿宋_GB2312" w:hAnsi="仿宋_GB2312" w:eastAsia="仿宋_GB2312" w:cs="仿宋_GB2312"/>
                <w:color w:val="auto"/>
                <w:kern w:val="2"/>
                <w:sz w:val="24"/>
                <w:szCs w:val="24"/>
                <w:lang w:val="en-US" w:eastAsia="zh-CN" w:bidi="ar-SA"/>
              </w:rPr>
            </w:pPr>
          </w:p>
        </w:tc>
      </w:tr>
    </w:tbl>
    <w:p w14:paraId="4F7C2DA1">
      <w:pPr>
        <w:pStyle w:val="14"/>
        <w:ind w:firstLine="0" w:firstLineChars="0"/>
        <w:rPr>
          <w:rFonts w:hint="eastAsia" w:ascii="仿宋_GB2312" w:hAnsi="仿宋_GB2312" w:eastAsia="仿宋_GB2312" w:cs="仿宋_GB2312"/>
          <w:sz w:val="32"/>
          <w:szCs w:val="32"/>
        </w:rPr>
      </w:pPr>
    </w:p>
    <w:sectPr>
      <w:pgSz w:w="16838" w:h="11906" w:orient="landscape"/>
      <w:pgMar w:top="283" w:right="1157" w:bottom="283" w:left="93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AzNTI5M2I3YWYxZmY5YzUyYWE5NzkyYjE5MzA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E6226F7"/>
    <w:rsid w:val="0EB54ECC"/>
    <w:rsid w:val="0F872CE8"/>
    <w:rsid w:val="1059048B"/>
    <w:rsid w:val="11100073"/>
    <w:rsid w:val="1285750E"/>
    <w:rsid w:val="14A0682A"/>
    <w:rsid w:val="1564628A"/>
    <w:rsid w:val="15FA74E9"/>
    <w:rsid w:val="16804237"/>
    <w:rsid w:val="16FB0F92"/>
    <w:rsid w:val="1784188A"/>
    <w:rsid w:val="181E54C4"/>
    <w:rsid w:val="1B09140A"/>
    <w:rsid w:val="1B5843F4"/>
    <w:rsid w:val="1B972A0D"/>
    <w:rsid w:val="1BBE30B8"/>
    <w:rsid w:val="1FBD5958"/>
    <w:rsid w:val="1FD255CD"/>
    <w:rsid w:val="210C5746"/>
    <w:rsid w:val="274026F8"/>
    <w:rsid w:val="27A96F47"/>
    <w:rsid w:val="2AE84B5C"/>
    <w:rsid w:val="2B054E4E"/>
    <w:rsid w:val="2C7D0568"/>
    <w:rsid w:val="2E7203C8"/>
    <w:rsid w:val="2EF40350"/>
    <w:rsid w:val="2FAA64AB"/>
    <w:rsid w:val="311779D7"/>
    <w:rsid w:val="32992A21"/>
    <w:rsid w:val="32DE2F9B"/>
    <w:rsid w:val="331B2029"/>
    <w:rsid w:val="33A40956"/>
    <w:rsid w:val="348A6935"/>
    <w:rsid w:val="366F7121"/>
    <w:rsid w:val="375564CF"/>
    <w:rsid w:val="37F92B6D"/>
    <w:rsid w:val="3A8A0CF6"/>
    <w:rsid w:val="3B9A4CFB"/>
    <w:rsid w:val="3D5B56FC"/>
    <w:rsid w:val="3E6071EC"/>
    <w:rsid w:val="3F7A7718"/>
    <w:rsid w:val="3FEE324A"/>
    <w:rsid w:val="40283D99"/>
    <w:rsid w:val="4157311A"/>
    <w:rsid w:val="418D716C"/>
    <w:rsid w:val="41D3159C"/>
    <w:rsid w:val="422505D8"/>
    <w:rsid w:val="424E44C8"/>
    <w:rsid w:val="429041C9"/>
    <w:rsid w:val="45552E54"/>
    <w:rsid w:val="45CD2A1A"/>
    <w:rsid w:val="46433569"/>
    <w:rsid w:val="47163DD9"/>
    <w:rsid w:val="480B3280"/>
    <w:rsid w:val="48EB6321"/>
    <w:rsid w:val="49721BE6"/>
    <w:rsid w:val="4E065115"/>
    <w:rsid w:val="4E146C4B"/>
    <w:rsid w:val="4EB242E9"/>
    <w:rsid w:val="4F7A7C5B"/>
    <w:rsid w:val="51A807E4"/>
    <w:rsid w:val="53CA2DA6"/>
    <w:rsid w:val="541C0D00"/>
    <w:rsid w:val="55C5563B"/>
    <w:rsid w:val="55CA5EB7"/>
    <w:rsid w:val="5614122C"/>
    <w:rsid w:val="568A3BF9"/>
    <w:rsid w:val="59314455"/>
    <w:rsid w:val="5BF70B72"/>
    <w:rsid w:val="5CA139A4"/>
    <w:rsid w:val="5E177132"/>
    <w:rsid w:val="60E05C0B"/>
    <w:rsid w:val="61512E34"/>
    <w:rsid w:val="631445C1"/>
    <w:rsid w:val="639B42E9"/>
    <w:rsid w:val="63B757A8"/>
    <w:rsid w:val="6584425F"/>
    <w:rsid w:val="679E78B0"/>
    <w:rsid w:val="67B72A24"/>
    <w:rsid w:val="67D521D9"/>
    <w:rsid w:val="6831170C"/>
    <w:rsid w:val="686D054C"/>
    <w:rsid w:val="691A59EE"/>
    <w:rsid w:val="6A5817BE"/>
    <w:rsid w:val="6A864AC1"/>
    <w:rsid w:val="6AD02EDB"/>
    <w:rsid w:val="6E7853B1"/>
    <w:rsid w:val="6FD8457F"/>
    <w:rsid w:val="7069615F"/>
    <w:rsid w:val="70A90B19"/>
    <w:rsid w:val="70AF0C51"/>
    <w:rsid w:val="73377338"/>
    <w:rsid w:val="74360436"/>
    <w:rsid w:val="74664BAC"/>
    <w:rsid w:val="756B742A"/>
    <w:rsid w:val="75B33643"/>
    <w:rsid w:val="764B09F2"/>
    <w:rsid w:val="77C25799"/>
    <w:rsid w:val="780B6871"/>
    <w:rsid w:val="78C755C4"/>
    <w:rsid w:val="7984105F"/>
    <w:rsid w:val="7A15435B"/>
    <w:rsid w:val="7AC42B6F"/>
    <w:rsid w:val="7CE643A1"/>
    <w:rsid w:val="7DD81BC4"/>
    <w:rsid w:val="7E146E60"/>
    <w:rsid w:val="7F1F6B99"/>
    <w:rsid w:val="E5FF69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customStyle="1" w:styleId="3">
    <w:name w:val="正文1"/>
    <w:basedOn w:val="1"/>
    <w:next w:val="1"/>
    <w:qFormat/>
    <w:uiPriority w:val="0"/>
    <w:pPr>
      <w:spacing w:line="360" w:lineRule="auto"/>
      <w:ind w:firstLine="480" w:firstLineChars="200"/>
    </w:pPr>
    <w:rPr>
      <w:kern w:val="0"/>
      <w:sz w:val="20"/>
      <w:szCs w:val="20"/>
    </w:rPr>
  </w:style>
  <w:style w:type="paragraph" w:styleId="4">
    <w:name w:val="Body Text"/>
    <w:basedOn w:val="1"/>
    <w:next w:val="5"/>
    <w:qFormat/>
    <w:uiPriority w:val="0"/>
    <w:pPr>
      <w:spacing w:line="520" w:lineRule="exact"/>
      <w:ind w:firstLine="200" w:firstLineChars="200"/>
    </w:pPr>
    <w:rPr>
      <w:sz w:val="28"/>
    </w:rPr>
  </w:style>
  <w:style w:type="paragraph" w:customStyle="1" w:styleId="5">
    <w:name w:val="Date1"/>
    <w:basedOn w:val="1"/>
    <w:next w:val="1"/>
    <w:qFormat/>
    <w:uiPriority w:val="0"/>
    <w:pPr>
      <w:adjustRightInd w:val="0"/>
      <w:jc w:val="left"/>
      <w:textAlignment w:val="baseline"/>
    </w:pPr>
    <w:rPr>
      <w:rFonts w:ascii="宋体" w:hAnsi="宋体"/>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index heading"/>
    <w:basedOn w:val="1"/>
    <w:next w:val="8"/>
    <w:qFormat/>
    <w:uiPriority w:val="0"/>
    <w:rPr>
      <w:rFonts w:ascii="Arial" w:hAnsi="Arial"/>
      <w:b/>
    </w:rPr>
  </w:style>
  <w:style w:type="paragraph" w:styleId="8">
    <w:name w:val="index 1"/>
    <w:basedOn w:val="1"/>
    <w:next w:val="1"/>
    <w:qFormat/>
    <w:uiPriority w:val="0"/>
    <w:pPr>
      <w:adjustRightInd w:val="0"/>
      <w:spacing w:line="240" w:lineRule="atLeast"/>
      <w:jc w:val="center"/>
      <w:textAlignment w:val="baseline"/>
    </w:pPr>
    <w:rPr>
      <w:rFonts w:ascii="宋体" w:hAnsi="宋体"/>
      <w:kern w:val="0"/>
    </w:rPr>
  </w:style>
  <w:style w:type="paragraph" w:styleId="9">
    <w:name w:val="Body Text First Indent 2"/>
    <w:basedOn w:val="1"/>
    <w:next w:val="1"/>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章标题"/>
    <w:next w:val="14"/>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14">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customStyle="1" w:styleId="15">
    <w:name w:val="Default"/>
    <w:basedOn w:val="1"/>
    <w:next w:val="7"/>
    <w:qFormat/>
    <w:uiPriority w:val="0"/>
    <w:pPr>
      <w:autoSpaceDE w:val="0"/>
      <w:autoSpaceDN w:val="0"/>
      <w:adjustRightInd w:val="0"/>
      <w:jc w:val="left"/>
    </w:pPr>
    <w:rPr>
      <w:rFonts w:hint="eastAsia" w:ascii="宋体"/>
      <w:color w:val="000000"/>
      <w:kern w:val="0"/>
      <w:sz w:val="24"/>
    </w:rPr>
  </w:style>
  <w:style w:type="paragraph" w:customStyle="1" w:styleId="16">
    <w:name w:val="正文（缩进）"/>
    <w:basedOn w:val="17"/>
    <w:next w:val="1"/>
    <w:qFormat/>
    <w:uiPriority w:val="99"/>
    <w:pPr>
      <w:tabs>
        <w:tab w:val="left" w:pos="4584"/>
      </w:tabs>
      <w:spacing w:line="360" w:lineRule="auto"/>
      <w:ind w:firstLine="480" w:firstLineChars="200"/>
    </w:pPr>
    <w:rPr>
      <w:sz w:val="24"/>
    </w:rPr>
  </w:style>
  <w:style w:type="paragraph" w:customStyle="1" w:styleId="17">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1576</Words>
  <Characters>1654</Characters>
  <Lines>6</Lines>
  <Paragraphs>1</Paragraphs>
  <TotalTime>6</TotalTime>
  <ScaleCrop>false</ScaleCrop>
  <LinksUpToDate>false</LinksUpToDate>
  <CharactersWithSpaces>1654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2021-01-14T13:57:00Z</dcterms:created>
  <dc:creator>Administrator</dc:creator>
  <cp:lastModifiedBy>铃铛</cp:lastModifiedBy>
  <dcterms:modified xsi:type="dcterms:W3CDTF">2025-05-23T08:28:53Z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3FB7120CA72B4C108A4EFEB0AF398DC8_13</vt:lpwstr>
  </property>
  <property fmtid="{D5CDD505-2E9C-101B-9397-08002B2CF9AE}" pid="4" name="KSOTemplateDocerSaveRecord">
    <vt:lpwstr>eyJoZGlkIjoiMWMwMTZiZWEwZTRlMTBkMjA3MjFmZmE1NjgxZWU5ZDYiLCJ1c2VySWQiOiI3NjUyODczMzUifQ==</vt:lpwstr>
  </property>
</Properties>
</file>