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C30F514">
      <w:pPr>
        <w:tabs>
          <w:tab w:val="left" w:pos="5940"/>
          <w:tab w:val="left" w:pos="6120"/>
        </w:tabs>
        <w:spacing w:line="720" w:lineRule="auto"/>
        <w:rPr>
          <w:b/>
          <w:color w:val="000000"/>
          <w:w w:val="138"/>
          <w:sz w:val="52"/>
          <w:szCs w:val="52"/>
        </w:rPr>
      </w:pPr>
      <w:r>
        <w:rPr>
          <w:b/>
          <w:color w:val="000000"/>
          <w:w w:val="145"/>
          <w:sz w:val="52"/>
          <w:szCs w:val="52"/>
        </w:rPr>
        <w:t xml:space="preserve"> </w:t>
      </w:r>
      <w:r>
        <w:rPr>
          <w:b/>
          <w:color w:val="000000"/>
          <w:w w:val="90"/>
          <w:sz w:val="52"/>
          <w:szCs w:val="52"/>
        </w:rPr>
        <w:t xml:space="preserve"> </w:t>
      </w:r>
      <w:r>
        <w:rPr>
          <w:b/>
          <w:color w:val="000000"/>
          <w:w w:val="138"/>
          <w:sz w:val="52"/>
          <w:szCs w:val="52"/>
        </w:rPr>
        <w:t xml:space="preserve"> </w:t>
      </w:r>
    </w:p>
    <w:p w14:paraId="7C1BC863">
      <w:pPr>
        <w:wordWrap w:val="0"/>
        <w:spacing w:line="600" w:lineRule="exact"/>
        <w:jc w:val="right"/>
        <w:rPr>
          <w:rFonts w:hint="default" w:eastAsia="仿宋_GB2312"/>
          <w:color w:val="000000"/>
          <w:sz w:val="32"/>
          <w:szCs w:val="32"/>
          <w:lang w:val="en-US" w:eastAsia="zh-CN"/>
        </w:rPr>
      </w:pPr>
      <w:r>
        <w:rPr>
          <w:rFonts w:hint="default" w:ascii="Times New Roman" w:hAnsi="Times New Roman" w:eastAsia="仿宋_GB2312" w:cs="Times New Roman"/>
          <w:color w:val="000000"/>
          <w:sz w:val="32"/>
          <w:szCs w:val="32"/>
        </w:rPr>
        <w:t>卫</w:t>
      </w:r>
      <w:r>
        <w:rPr>
          <w:rFonts w:hint="default" w:ascii="Times New Roman" w:hAnsi="Times New Roman" w:eastAsia="仿宋_GB2312" w:cs="Times New Roman"/>
          <w:color w:val="000000"/>
          <w:sz w:val="32"/>
          <w:szCs w:val="32"/>
          <w:lang w:val="en-US" w:eastAsia="zh-CN"/>
        </w:rPr>
        <w:t>环海原分局</w:t>
      </w:r>
      <w:r>
        <w:rPr>
          <w:rFonts w:hint="default" w:ascii="Times New Roman" w:hAnsi="Times New Roman" w:eastAsia="仿宋_GB2312" w:cs="Times New Roman"/>
          <w:color w:val="000000"/>
          <w:sz w:val="32"/>
          <w:szCs w:val="32"/>
        </w:rPr>
        <w:t>函〔202</w:t>
      </w:r>
      <w:r>
        <w:rPr>
          <w:rFonts w:hint="eastAsia"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w:t>
      </w:r>
      <w:r>
        <w:rPr>
          <w:rFonts w:hint="eastAsia"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号</w:t>
      </w:r>
      <w:r>
        <w:rPr>
          <w:rFonts w:hint="default" w:ascii="Times New Roman" w:hAnsi="Times New Roman" w:eastAsia="仿宋_GB2312" w:cs="Times New Roman"/>
          <w:color w:val="000000"/>
          <w:sz w:val="32"/>
          <w:szCs w:val="32"/>
          <w:lang w:val="en-US" w:eastAsia="zh-CN"/>
        </w:rPr>
        <w:t xml:space="preserve"> </w:t>
      </w:r>
      <w:r>
        <w:rPr>
          <w:rFonts w:hint="eastAsia" w:eastAsia="仿宋_GB2312"/>
          <w:color w:val="000000"/>
          <w:sz w:val="32"/>
          <w:szCs w:val="32"/>
          <w:lang w:val="en-US" w:eastAsia="zh-CN"/>
        </w:rPr>
        <w:t xml:space="preserve"> </w:t>
      </w:r>
    </w:p>
    <w:p w14:paraId="05E7FEAF">
      <w:pPr>
        <w:spacing w:line="560" w:lineRule="exact"/>
        <w:rPr>
          <w:color w:val="000000"/>
        </w:rPr>
      </w:pPr>
    </w:p>
    <w:p w14:paraId="3FB0D355">
      <w:pPr>
        <w:keepNext w:val="0"/>
        <w:keepLines w:val="0"/>
        <w:pageBreakBefore w:val="0"/>
        <w:widowControl/>
        <w:kinsoku/>
        <w:wordWrap/>
        <w:overflowPunct/>
        <w:topLinePunct w:val="0"/>
        <w:autoSpaceDE/>
        <w:autoSpaceDN/>
        <w:bidi w:val="0"/>
        <w:adjustRightInd/>
        <w:snapToGrid/>
        <w:spacing w:line="600" w:lineRule="exact"/>
        <w:jc w:val="center"/>
        <w:textAlignment w:val="center"/>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关于西三线为海原县文化旅游产业发展集团</w:t>
      </w:r>
    </w:p>
    <w:p w14:paraId="1208F174">
      <w:pPr>
        <w:keepNext w:val="0"/>
        <w:keepLines w:val="0"/>
        <w:pageBreakBefore w:val="0"/>
        <w:widowControl/>
        <w:kinsoku/>
        <w:wordWrap/>
        <w:overflowPunct/>
        <w:topLinePunct w:val="0"/>
        <w:autoSpaceDE/>
        <w:autoSpaceDN/>
        <w:bidi w:val="0"/>
        <w:adjustRightInd/>
        <w:snapToGrid/>
        <w:spacing w:line="600" w:lineRule="exact"/>
        <w:jc w:val="center"/>
        <w:textAlignment w:val="center"/>
        <w:rPr>
          <w:rFonts w:hint="eastAsia" w:ascii="方正小标宋_GBK" w:hAnsi="方正小标宋_GBK" w:eastAsia="方正小标宋_GBK" w:cs="方正小标宋_GBK"/>
          <w:color w:val="000000"/>
          <w:sz w:val="44"/>
          <w:szCs w:val="44"/>
          <w:lang w:eastAsia="zh-CN"/>
        </w:rPr>
      </w:pPr>
      <w:r>
        <w:rPr>
          <w:rFonts w:hint="eastAsia" w:ascii="方正小标宋_GBK" w:hAnsi="方正小标宋_GBK" w:eastAsia="方正小标宋_GBK" w:cs="方正小标宋_GBK"/>
          <w:color w:val="000000"/>
          <w:sz w:val="44"/>
          <w:szCs w:val="44"/>
        </w:rPr>
        <w:t>有限公司新增下载点项目</w:t>
      </w:r>
      <w:r>
        <w:rPr>
          <w:rFonts w:hint="eastAsia" w:ascii="方正小标宋_GBK" w:hAnsi="方正小标宋_GBK" w:eastAsia="方正小标宋_GBK" w:cs="方正小标宋_GBK"/>
          <w:color w:val="000000"/>
          <w:sz w:val="44"/>
          <w:szCs w:val="44"/>
          <w:lang w:eastAsia="zh-CN"/>
        </w:rPr>
        <w:t>环境影响报告表</w:t>
      </w:r>
    </w:p>
    <w:p w14:paraId="3B62D605">
      <w:pPr>
        <w:keepNext w:val="0"/>
        <w:keepLines w:val="0"/>
        <w:pageBreakBefore w:val="0"/>
        <w:widowControl/>
        <w:kinsoku/>
        <w:wordWrap/>
        <w:overflowPunct/>
        <w:topLinePunct w:val="0"/>
        <w:autoSpaceDE/>
        <w:autoSpaceDN/>
        <w:bidi w:val="0"/>
        <w:adjustRightInd/>
        <w:snapToGrid/>
        <w:spacing w:line="600" w:lineRule="exact"/>
        <w:jc w:val="center"/>
        <w:textAlignment w:val="center"/>
        <w:rPr>
          <w:rFonts w:hint="eastAsia" w:ascii="方正小标宋_GBK" w:hAnsi="方正小标宋_GBK" w:eastAsia="方正小标宋_GBK" w:cs="方正小标宋_GBK"/>
          <w:bCs/>
          <w:color w:val="000000"/>
          <w:sz w:val="44"/>
          <w:szCs w:val="44"/>
          <w:u w:val="single"/>
          <w:lang w:val="en-US" w:eastAsia="zh-CN" w:bidi="en-US"/>
        </w:rPr>
      </w:pPr>
      <w:r>
        <w:rPr>
          <w:rFonts w:hint="eastAsia" w:ascii="方正小标宋_GBK" w:hAnsi="方正小标宋_GBK" w:eastAsia="方正小标宋_GBK" w:cs="方正小标宋_GBK"/>
          <w:color w:val="000000"/>
          <w:sz w:val="44"/>
          <w:szCs w:val="44"/>
          <w:lang w:eastAsia="zh-CN"/>
        </w:rPr>
        <w:t>审批意见的函</w:t>
      </w:r>
    </w:p>
    <w:p w14:paraId="5DEC7164">
      <w:pPr>
        <w:keepNext w:val="0"/>
        <w:keepLines w:val="0"/>
        <w:pageBreakBefore w:val="0"/>
        <w:widowControl w:val="0"/>
        <w:kinsoku/>
        <w:overflowPunct/>
        <w:topLinePunct w:val="0"/>
        <w:autoSpaceDE/>
        <w:autoSpaceDN/>
        <w:bidi w:val="0"/>
        <w:spacing w:line="550" w:lineRule="exact"/>
        <w:jc w:val="center"/>
        <w:textAlignment w:val="auto"/>
        <w:rPr>
          <w:rFonts w:eastAsia="黑体"/>
          <w:color w:val="000000"/>
          <w:sz w:val="32"/>
          <w:szCs w:val="32"/>
        </w:rPr>
      </w:pPr>
    </w:p>
    <w:p w14:paraId="5263CFF2">
      <w:pPr>
        <w:keepNext w:val="0"/>
        <w:keepLines w:val="0"/>
        <w:pageBreakBefore w:val="0"/>
        <w:widowControl w:val="0"/>
        <w:kinsoku/>
        <w:wordWrap/>
        <w:overflowPunct/>
        <w:topLinePunct w:val="0"/>
        <w:autoSpaceDE/>
        <w:autoSpaceDN/>
        <w:bidi w:val="0"/>
        <w:adjustRightInd w:val="0"/>
        <w:snapToGrid w:val="0"/>
        <w:spacing w:line="550" w:lineRule="exact"/>
        <w:textAlignment w:val="auto"/>
        <w:rPr>
          <w:rFonts w:hint="eastAsia" w:ascii="仿宋_GB2312" w:hAnsi="仿宋_GB2312" w:eastAsia="仿宋_GB2312" w:cs="仿宋_GB2312"/>
          <w:bCs/>
          <w:color w:val="000000"/>
          <w:spacing w:val="-6"/>
          <w:sz w:val="32"/>
          <w:szCs w:val="32"/>
          <w:lang w:eastAsia="zh-CN" w:bidi="en-US"/>
        </w:rPr>
      </w:pPr>
      <w:r>
        <w:rPr>
          <w:rFonts w:hint="eastAsia" w:ascii="仿宋_GB2312" w:hAnsi="仿宋_GB2312" w:eastAsia="仿宋_GB2312" w:cs="仿宋_GB2312"/>
          <w:bCs/>
          <w:color w:val="000000"/>
          <w:spacing w:val="-6"/>
          <w:sz w:val="32"/>
          <w:szCs w:val="32"/>
          <w:lang w:bidi="en-US"/>
        </w:rPr>
        <w:t>国家管网集团联合管道有限责任公司西气东输分公司银川管理处</w:t>
      </w:r>
      <w:r>
        <w:rPr>
          <w:rFonts w:hint="eastAsia" w:ascii="仿宋_GB2312" w:hAnsi="仿宋_GB2312" w:eastAsia="仿宋_GB2312" w:cs="仿宋_GB2312"/>
          <w:bCs/>
          <w:color w:val="000000"/>
          <w:spacing w:val="-6"/>
          <w:sz w:val="32"/>
          <w:szCs w:val="32"/>
          <w:lang w:eastAsia="zh-CN" w:bidi="en-US"/>
        </w:rPr>
        <w:t>：</w:t>
      </w:r>
    </w:p>
    <w:p w14:paraId="6F0D833C">
      <w:pPr>
        <w:keepNext w:val="0"/>
        <w:keepLines w:val="0"/>
        <w:pageBreakBefore w:val="0"/>
        <w:widowControl w:val="0"/>
        <w:kinsoku/>
        <w:wordWrap/>
        <w:overflowPunct/>
        <w:topLinePunct w:val="0"/>
        <w:autoSpaceDE/>
        <w:autoSpaceDN/>
        <w:bidi w:val="0"/>
        <w:adjustRightInd w:val="0"/>
        <w:snapToGrid w:val="0"/>
        <w:spacing w:line="550" w:lineRule="exact"/>
        <w:ind w:right="0" w:rightChars="0" w:firstLine="616" w:firstLineChars="200"/>
        <w:jc w:val="left"/>
        <w:textAlignment w:val="auto"/>
        <w:rPr>
          <w:rFonts w:hint="eastAsia" w:ascii="仿宋_GB2312" w:hAnsi="仿宋_GB2312" w:eastAsia="仿宋_GB2312" w:cs="仿宋_GB2312"/>
          <w:bCs/>
          <w:color w:val="auto"/>
          <w:sz w:val="32"/>
          <w:szCs w:val="32"/>
          <w:lang w:bidi="en-US"/>
        </w:rPr>
      </w:pPr>
      <w:r>
        <w:rPr>
          <w:rFonts w:hint="eastAsia" w:ascii="仿宋_GB2312" w:hAnsi="仿宋_GB2312" w:eastAsia="仿宋_GB2312" w:cs="仿宋_GB2312"/>
          <w:bCs/>
          <w:color w:val="auto"/>
          <w:spacing w:val="-6"/>
          <w:sz w:val="32"/>
          <w:szCs w:val="32"/>
          <w:lang w:eastAsia="zh-CN" w:bidi="en-US"/>
        </w:rPr>
        <w:t>你单位</w:t>
      </w:r>
      <w:r>
        <w:rPr>
          <w:rFonts w:hint="eastAsia" w:ascii="仿宋_GB2312" w:hAnsi="仿宋_GB2312" w:eastAsia="仿宋_GB2312" w:cs="仿宋_GB2312"/>
          <w:b w:val="0"/>
          <w:bCs w:val="0"/>
          <w:spacing w:val="-6"/>
          <w:sz w:val="32"/>
          <w:szCs w:val="32"/>
        </w:rPr>
        <w:t>《关于申请审查、审批</w:t>
      </w:r>
      <w:r>
        <w:rPr>
          <w:rFonts w:hint="eastAsia" w:ascii="仿宋_GB2312" w:hAnsi="仿宋_GB2312" w:eastAsia="仿宋_GB2312" w:cs="仿宋_GB2312"/>
          <w:bCs/>
          <w:color w:val="000000"/>
          <w:spacing w:val="-6"/>
          <w:sz w:val="32"/>
          <w:szCs w:val="32"/>
          <w:lang w:eastAsia="zh-CN" w:bidi="en-US"/>
        </w:rPr>
        <w:t>西三线为海原县文化旅游产业发展集团有限公司新增下载点项目</w:t>
      </w:r>
      <w:r>
        <w:rPr>
          <w:rFonts w:hint="eastAsia" w:ascii="仿宋_GB2312" w:hAnsi="仿宋_GB2312" w:eastAsia="仿宋_GB2312" w:cs="仿宋_GB2312"/>
          <w:color w:val="auto"/>
          <w:spacing w:val="-6"/>
          <w:sz w:val="32"/>
          <w:szCs w:val="32"/>
        </w:rPr>
        <w:t>环境影响报告表</w:t>
      </w:r>
      <w:r>
        <w:rPr>
          <w:rFonts w:hint="eastAsia" w:ascii="仿宋_GB2312" w:hAnsi="仿宋_GB2312" w:eastAsia="仿宋_GB2312" w:cs="仿宋_GB2312"/>
          <w:b w:val="0"/>
          <w:bCs w:val="0"/>
          <w:spacing w:val="-6"/>
          <w:sz w:val="32"/>
          <w:szCs w:val="32"/>
        </w:rPr>
        <w:t>的请示》</w:t>
      </w:r>
      <w:r>
        <w:rPr>
          <w:rFonts w:hint="eastAsia" w:ascii="仿宋_GB2312" w:hAnsi="仿宋_GB2312" w:eastAsia="仿宋_GB2312" w:cs="仿宋_GB2312"/>
          <w:b w:val="0"/>
          <w:bCs w:val="0"/>
          <w:spacing w:val="-6"/>
          <w:sz w:val="32"/>
          <w:szCs w:val="32"/>
          <w:lang w:val="en-US" w:eastAsia="zh-CN"/>
        </w:rPr>
        <w:t>及相关文件</w:t>
      </w:r>
      <w:r>
        <w:rPr>
          <w:rFonts w:hint="eastAsia" w:ascii="仿宋_GB2312" w:hAnsi="仿宋_GB2312" w:eastAsia="仿宋_GB2312" w:cs="仿宋_GB2312"/>
          <w:b w:val="0"/>
          <w:bCs w:val="0"/>
          <w:spacing w:val="-6"/>
          <w:sz w:val="32"/>
          <w:szCs w:val="32"/>
        </w:rPr>
        <w:t>收悉，</w:t>
      </w:r>
      <w:r>
        <w:rPr>
          <w:rFonts w:hint="eastAsia" w:ascii="仿宋_GB2312" w:hAnsi="仿宋_GB2312" w:eastAsia="仿宋_GB2312" w:cs="仿宋_GB2312"/>
          <w:b w:val="0"/>
          <w:bCs w:val="0"/>
          <w:color w:val="auto"/>
          <w:spacing w:val="-6"/>
          <w:sz w:val="32"/>
          <w:szCs w:val="32"/>
          <w:lang w:val="en-US" w:eastAsia="zh-CN" w:bidi="en-US"/>
        </w:rPr>
        <w:t>根据专家评审小组意见，经研究，提出审批意见如下</w:t>
      </w:r>
      <w:r>
        <w:rPr>
          <w:rFonts w:hint="eastAsia" w:ascii="仿宋_GB2312" w:hAnsi="仿宋_GB2312" w:eastAsia="仿宋_GB2312" w:cs="仿宋_GB2312"/>
          <w:b w:val="0"/>
          <w:bCs w:val="0"/>
          <w:color w:val="auto"/>
          <w:sz w:val="32"/>
          <w:szCs w:val="32"/>
          <w:lang w:val="en-US" w:eastAsia="zh-CN" w:bidi="en-US"/>
        </w:rPr>
        <w:t>。</w:t>
      </w:r>
    </w:p>
    <w:p w14:paraId="7122B6CE">
      <w:pPr>
        <w:keepNext w:val="0"/>
        <w:keepLines w:val="0"/>
        <w:pageBreakBefore w:val="0"/>
        <w:widowControl w:val="0"/>
        <w:numPr>
          <w:ilvl w:val="0"/>
          <w:numId w:val="0"/>
        </w:numPr>
        <w:kinsoku/>
        <w:wordWrap/>
        <w:overflowPunct/>
        <w:topLinePunct w:val="0"/>
        <w:autoSpaceDE/>
        <w:autoSpaceDN/>
        <w:bidi w:val="0"/>
        <w:adjustRightInd w:val="0"/>
        <w:snapToGrid w:val="0"/>
        <w:spacing w:line="550" w:lineRule="exact"/>
        <w:ind w:firstLine="640" w:firstLineChars="200"/>
        <w:textAlignment w:val="auto"/>
        <w:rPr>
          <w:rFonts w:hint="eastAsia" w:ascii="仿宋" w:hAnsi="仿宋" w:eastAsia="仿宋" w:cs="仿宋"/>
          <w:bCs/>
          <w:color w:val="000000"/>
          <w:sz w:val="32"/>
          <w:szCs w:val="32"/>
          <w:lang w:val="en-US" w:eastAsia="zh-CN" w:bidi="en-US"/>
        </w:rPr>
      </w:pPr>
      <w:r>
        <w:rPr>
          <w:rFonts w:hint="eastAsia" w:ascii="黑体" w:hAnsi="黑体" w:eastAsia="黑体" w:cs="黑体"/>
          <w:bCs/>
          <w:color w:val="000000"/>
          <w:sz w:val="32"/>
          <w:szCs w:val="32"/>
          <w:lang w:val="en-US" w:eastAsia="zh-CN" w:bidi="en-US"/>
        </w:rPr>
        <w:t>一、项目概况</w:t>
      </w:r>
    </w:p>
    <w:p w14:paraId="129B4B44">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eastAsia" w:ascii="仿宋_GB2312" w:hAnsi="仿宋_GB2312" w:eastAsia="仿宋_GB2312" w:cs="仿宋_GB2312"/>
          <w:bCs/>
          <w:color w:val="000000"/>
          <w:sz w:val="32"/>
          <w:szCs w:val="32"/>
          <w:lang w:eastAsia="zh-CN" w:bidi="en-US"/>
        </w:rPr>
      </w:pPr>
      <w:r>
        <w:rPr>
          <w:rFonts w:hint="eastAsia" w:ascii="仿宋_GB2312" w:hAnsi="仿宋_GB2312" w:eastAsia="仿宋_GB2312" w:cs="仿宋_GB2312"/>
          <w:bCs/>
          <w:color w:val="000000"/>
          <w:sz w:val="32"/>
          <w:szCs w:val="32"/>
          <w:lang w:bidi="en-US"/>
        </w:rPr>
        <w:t>项目位于海原县三河镇，项目占地面积</w:t>
      </w:r>
      <w:r>
        <w:rPr>
          <w:rFonts w:hint="eastAsia" w:ascii="仿宋_GB2312" w:hAnsi="仿宋_GB2312" w:eastAsia="仿宋_GB2312" w:cs="仿宋_GB2312"/>
          <w:bCs/>
          <w:color w:val="000000"/>
          <w:sz w:val="32"/>
          <w:szCs w:val="32"/>
          <w:lang w:val="en-US" w:eastAsia="zh-CN" w:bidi="en-US"/>
        </w:rPr>
        <w:t>2739</w:t>
      </w:r>
      <w:r>
        <w:rPr>
          <w:rFonts w:hint="eastAsia" w:ascii="仿宋_GB2312" w:hAnsi="仿宋_GB2312" w:eastAsia="仿宋_GB2312" w:cs="仿宋_GB2312"/>
          <w:bCs/>
          <w:color w:val="000000"/>
          <w:sz w:val="32"/>
          <w:szCs w:val="32"/>
          <w:lang w:bidi="en-US"/>
        </w:rPr>
        <w:t>m</w:t>
      </w:r>
      <w:r>
        <w:rPr>
          <w:rFonts w:hint="eastAsia" w:ascii="仿宋_GB2312" w:hAnsi="仿宋_GB2312" w:eastAsia="仿宋_GB2312" w:cs="仿宋_GB2312"/>
          <w:bCs/>
          <w:color w:val="000000"/>
          <w:sz w:val="32"/>
          <w:szCs w:val="32"/>
          <w:vertAlign w:val="superscript"/>
          <w:lang w:val="en-US" w:eastAsia="zh-CN" w:bidi="en-US"/>
        </w:rPr>
        <w:t>2</w:t>
      </w:r>
      <w:r>
        <w:rPr>
          <w:rFonts w:hint="eastAsia" w:ascii="仿宋_GB2312" w:hAnsi="仿宋_GB2312" w:eastAsia="仿宋_GB2312" w:cs="仿宋_GB2312"/>
          <w:bCs/>
          <w:color w:val="000000"/>
          <w:sz w:val="32"/>
          <w:szCs w:val="32"/>
          <w:vertAlign w:val="baseline"/>
          <w:lang w:val="en-US" w:eastAsia="zh-CN" w:bidi="en-US"/>
        </w:rPr>
        <w:t>。建设内容为：</w:t>
      </w:r>
      <w:r>
        <w:rPr>
          <w:rFonts w:hint="eastAsia" w:ascii="仿宋_GB2312" w:hAnsi="仿宋_GB2312" w:eastAsia="仿宋_GB2312" w:cs="仿宋_GB2312"/>
          <w:bCs/>
          <w:color w:val="000000"/>
          <w:sz w:val="32"/>
          <w:szCs w:val="32"/>
          <w:lang w:bidi="en-US"/>
        </w:rPr>
        <w:t>在西气东输西三线中段（中卫-吉安）77#阀室引入管道天然气，新建</w:t>
      </w:r>
      <w:r>
        <w:rPr>
          <w:rFonts w:hint="eastAsia" w:ascii="仿宋_GB2312" w:hAnsi="仿宋_GB2312" w:eastAsia="仿宋_GB2312" w:cs="仿宋_GB2312"/>
          <w:bCs/>
          <w:color w:val="000000"/>
          <w:sz w:val="32"/>
          <w:szCs w:val="32"/>
          <w:lang w:val="en-US" w:eastAsia="zh-CN" w:bidi="en-US"/>
        </w:rPr>
        <w:t>320m长高压输气管道</w:t>
      </w:r>
      <w:r>
        <w:rPr>
          <w:rFonts w:hint="eastAsia" w:ascii="仿宋_GB2312" w:hAnsi="仿宋_GB2312" w:eastAsia="仿宋_GB2312" w:cs="仿宋_GB2312"/>
          <w:bCs/>
          <w:color w:val="000000"/>
          <w:sz w:val="32"/>
          <w:szCs w:val="32"/>
          <w:lang w:bidi="en-US"/>
        </w:rPr>
        <w:t>至新建海兴分输站。同时，从海兴分输站引出一条放空管线，与新建主管道同沟敷设至77#阀室西70m，后向东北敷设至放空区域，放空管线全长约280m。新建海兴分输站在海兴门站内预留用地建设</w:t>
      </w:r>
      <w:r>
        <w:rPr>
          <w:rFonts w:hint="eastAsia" w:ascii="仿宋_GB2312" w:hAnsi="仿宋_GB2312" w:eastAsia="仿宋_GB2312" w:cs="仿宋_GB2312"/>
          <w:bCs/>
          <w:color w:val="000000"/>
          <w:sz w:val="32"/>
          <w:szCs w:val="32"/>
          <w:lang w:eastAsia="zh-CN" w:bidi="en-US"/>
        </w:rPr>
        <w:t>。项目总投资为</w:t>
      </w:r>
      <w:r>
        <w:rPr>
          <w:rFonts w:hint="eastAsia" w:ascii="仿宋_GB2312" w:hAnsi="仿宋_GB2312" w:eastAsia="仿宋_GB2312" w:cs="仿宋_GB2312"/>
          <w:sz w:val="32"/>
          <w:szCs w:val="32"/>
        </w:rPr>
        <w:t>3061.78</w:t>
      </w:r>
      <w:r>
        <w:rPr>
          <w:rFonts w:hint="eastAsia" w:ascii="仿宋_GB2312" w:hAnsi="仿宋_GB2312" w:eastAsia="仿宋_GB2312" w:cs="仿宋_GB2312"/>
          <w:bCs/>
          <w:color w:val="000000"/>
          <w:sz w:val="32"/>
          <w:szCs w:val="32"/>
          <w:lang w:eastAsia="zh-CN" w:bidi="en-US"/>
        </w:rPr>
        <w:t>万元，其中环保投资27万元，占总投资的</w:t>
      </w:r>
      <w:r>
        <w:rPr>
          <w:rFonts w:hint="eastAsia" w:ascii="仿宋_GB2312" w:hAnsi="仿宋_GB2312" w:eastAsia="仿宋_GB2312" w:cs="仿宋_GB2312"/>
          <w:bCs/>
          <w:color w:val="000000"/>
          <w:sz w:val="32"/>
          <w:szCs w:val="32"/>
          <w:lang w:val="en-US" w:eastAsia="zh-CN" w:bidi="en-US"/>
        </w:rPr>
        <w:t>0.9</w:t>
      </w:r>
      <w:r>
        <w:rPr>
          <w:rFonts w:hint="eastAsia" w:ascii="仿宋_GB2312" w:hAnsi="仿宋_GB2312" w:eastAsia="仿宋_GB2312" w:cs="仿宋_GB2312"/>
          <w:bCs/>
          <w:color w:val="000000"/>
          <w:sz w:val="32"/>
          <w:szCs w:val="32"/>
          <w:lang w:eastAsia="zh-CN" w:bidi="en-US"/>
        </w:rPr>
        <w:t>%</w:t>
      </w:r>
      <w:r>
        <w:rPr>
          <w:rFonts w:eastAsia="仿宋_GB2312"/>
          <w:bCs/>
          <w:color w:val="auto"/>
          <w:sz w:val="32"/>
          <w:szCs w:val="32"/>
          <w:lang w:bidi="en-US"/>
        </w:rPr>
        <w:t>。</w:t>
      </w:r>
    </w:p>
    <w:p w14:paraId="70A06212">
      <w:pPr>
        <w:keepNext w:val="0"/>
        <w:keepLines w:val="0"/>
        <w:pageBreakBefore w:val="0"/>
        <w:widowControl w:val="0"/>
        <w:kinsoku/>
        <w:wordWrap w:val="0"/>
        <w:overflowPunct/>
        <w:topLinePunct w:val="0"/>
        <w:autoSpaceDE/>
        <w:autoSpaceDN/>
        <w:bidi w:val="0"/>
        <w:adjustRightInd w:val="0"/>
        <w:snapToGrid w:val="0"/>
        <w:spacing w:line="55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经评估审查，项目建设符合国家、自治区相关政策规划，在落实</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西三线为海原县文化旅游产业发展集团有限公司新增下载点项目</w:t>
      </w:r>
      <w:r>
        <w:rPr>
          <w:rFonts w:hint="eastAsia" w:ascii="仿宋_GB2312" w:hAnsi="仿宋_GB2312" w:eastAsia="仿宋_GB2312" w:cs="仿宋_GB2312"/>
          <w:color w:val="auto"/>
          <w:sz w:val="32"/>
          <w:szCs w:val="32"/>
          <w:lang w:eastAsia="zh-CN"/>
        </w:rPr>
        <w:t>环境影响报告表》（</w:t>
      </w:r>
      <w:r>
        <w:rPr>
          <w:rFonts w:hint="eastAsia" w:ascii="仿宋_GB2312" w:hAnsi="仿宋_GB2312" w:eastAsia="仿宋_GB2312" w:cs="仿宋_GB2312"/>
          <w:color w:val="auto"/>
          <w:sz w:val="32"/>
          <w:szCs w:val="32"/>
          <w:lang w:val="en-US" w:eastAsia="zh-CN"/>
        </w:rPr>
        <w:t>以下简称</w:t>
      </w:r>
      <w:r>
        <w:rPr>
          <w:rFonts w:hint="eastAsia" w:ascii="仿宋_GB2312" w:hAnsi="仿宋_GB2312" w:eastAsia="仿宋_GB2312" w:cs="仿宋_GB2312"/>
          <w:color w:val="auto"/>
          <w:sz w:val="32"/>
          <w:szCs w:val="32"/>
        </w:rPr>
        <w:t>《报告表》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提出的各项污染防治措施</w:t>
      </w:r>
      <w:r>
        <w:rPr>
          <w:rFonts w:hint="eastAsia" w:ascii="仿宋_GB2312" w:hAnsi="仿宋_GB2312" w:eastAsia="仿宋_GB2312" w:cs="仿宋_GB2312"/>
          <w:color w:val="auto"/>
          <w:sz w:val="32"/>
          <w:szCs w:val="32"/>
          <w:lang w:val="en-US" w:eastAsia="zh-CN"/>
        </w:rPr>
        <w:t>及生态环境保护与恢复措施</w:t>
      </w:r>
      <w:r>
        <w:rPr>
          <w:rFonts w:hint="eastAsia" w:ascii="仿宋_GB2312" w:hAnsi="仿宋_GB2312" w:eastAsia="仿宋_GB2312" w:cs="仿宋_GB2312"/>
          <w:color w:val="auto"/>
          <w:sz w:val="32"/>
          <w:szCs w:val="32"/>
        </w:rPr>
        <w:t>的基础上，</w:t>
      </w:r>
      <w:r>
        <w:rPr>
          <w:rFonts w:hint="eastAsia" w:ascii="仿宋_GB2312" w:hAnsi="仿宋_GB2312" w:eastAsia="仿宋_GB2312" w:cs="仿宋_GB2312"/>
          <w:color w:val="auto"/>
          <w:sz w:val="32"/>
          <w:szCs w:val="32"/>
          <w:lang w:val="en-US" w:eastAsia="zh-CN"/>
        </w:rPr>
        <w:t>从环境角度分析，</w:t>
      </w:r>
      <w:r>
        <w:rPr>
          <w:rFonts w:hint="eastAsia" w:ascii="仿宋_GB2312" w:hAnsi="仿宋_GB2312" w:eastAsia="仿宋_GB2312" w:cs="仿宋_GB2312"/>
          <w:color w:val="auto"/>
          <w:sz w:val="32"/>
          <w:szCs w:val="32"/>
        </w:rPr>
        <w:t>同意你单位按照《报告表》中所列建设项目的性质、规模、地点、环境保护对策措施等进行项目建设。</w:t>
      </w:r>
    </w:p>
    <w:p w14:paraId="7091C7DB">
      <w:pPr>
        <w:keepNext w:val="0"/>
        <w:keepLines w:val="0"/>
        <w:pageBreakBefore w:val="0"/>
        <w:widowControl w:val="0"/>
        <w:kinsoku/>
        <w:overflowPunct/>
        <w:topLinePunct w:val="0"/>
        <w:autoSpaceDE/>
        <w:autoSpaceDN/>
        <w:bidi w:val="0"/>
        <w:spacing w:line="550" w:lineRule="exact"/>
        <w:ind w:firstLine="640" w:firstLineChars="200"/>
        <w:textAlignment w:val="auto"/>
        <w:rPr>
          <w:rFonts w:eastAsia="黑体"/>
          <w:color w:val="auto"/>
          <w:sz w:val="32"/>
          <w:szCs w:val="32"/>
        </w:rPr>
      </w:pPr>
      <w:r>
        <w:rPr>
          <w:rFonts w:eastAsia="黑体"/>
          <w:color w:val="auto"/>
          <w:sz w:val="32"/>
          <w:szCs w:val="32"/>
          <w:lang w:bidi="en-US"/>
        </w:rPr>
        <w:t>二、</w:t>
      </w:r>
      <w:r>
        <w:rPr>
          <w:rFonts w:hint="eastAsia" w:eastAsia="黑体"/>
          <w:color w:val="auto"/>
          <w:sz w:val="32"/>
          <w:szCs w:val="32"/>
          <w:lang w:bidi="en-US"/>
        </w:rPr>
        <w:t>项目建设环境影响控制主要措施</w:t>
      </w:r>
    </w:p>
    <w:p w14:paraId="5CA3EE38">
      <w:pPr>
        <w:keepNext w:val="0"/>
        <w:keepLines w:val="0"/>
        <w:pageBreakBefore w:val="0"/>
        <w:widowControl w:val="0"/>
        <w:kinsoku/>
        <w:wordWrap w:val="0"/>
        <w:overflowPunct/>
        <w:topLinePunct w:val="0"/>
        <w:autoSpaceDE/>
        <w:autoSpaceDN/>
        <w:bidi w:val="0"/>
        <w:adjustRightInd w:val="0"/>
        <w:snapToGrid w:val="0"/>
        <w:spacing w:line="550" w:lineRule="exact"/>
        <w:ind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项目在工程设计、建设和生产过程中必须认真落实环境影响报告表中提出的各项环保措施和要求。重点做好以下工作：</w:t>
      </w:r>
    </w:p>
    <w:p w14:paraId="56B1DE21">
      <w:pPr>
        <w:keepNext w:val="0"/>
        <w:keepLines w:val="0"/>
        <w:pageBreakBefore w:val="0"/>
        <w:widowControl w:val="0"/>
        <w:kinsoku/>
        <w:overflowPunct/>
        <w:topLinePunct w:val="0"/>
        <w:autoSpaceDE/>
        <w:autoSpaceDN/>
        <w:bidi w:val="0"/>
        <w:spacing w:line="550" w:lineRule="exact"/>
        <w:ind w:firstLine="643" w:firstLineChars="200"/>
        <w:textAlignment w:val="auto"/>
        <w:rPr>
          <w:rFonts w:eastAsia="楷体"/>
          <w:b/>
          <w:bCs/>
          <w:color w:val="auto"/>
          <w:sz w:val="32"/>
          <w:szCs w:val="32"/>
          <w:lang w:bidi="en-US"/>
        </w:rPr>
      </w:pPr>
      <w:r>
        <w:rPr>
          <w:rFonts w:eastAsia="楷体"/>
          <w:b/>
          <w:bCs/>
          <w:color w:val="auto"/>
          <w:sz w:val="32"/>
          <w:szCs w:val="32"/>
          <w:lang w:bidi="en-US"/>
        </w:rPr>
        <w:t>（一）</w:t>
      </w:r>
      <w:r>
        <w:rPr>
          <w:rFonts w:hint="eastAsia" w:eastAsia="楷体"/>
          <w:b/>
          <w:bCs/>
          <w:color w:val="auto"/>
          <w:sz w:val="32"/>
          <w:szCs w:val="32"/>
          <w:lang w:bidi="en-US"/>
        </w:rPr>
        <w:t>大</w:t>
      </w:r>
      <w:r>
        <w:rPr>
          <w:rFonts w:eastAsia="楷体"/>
          <w:b/>
          <w:bCs/>
          <w:color w:val="auto"/>
          <w:sz w:val="32"/>
          <w:szCs w:val="32"/>
          <w:lang w:bidi="en-US"/>
        </w:rPr>
        <w:t>气</w:t>
      </w:r>
      <w:r>
        <w:rPr>
          <w:rFonts w:hint="eastAsia" w:eastAsia="楷体"/>
          <w:b/>
          <w:bCs/>
          <w:color w:val="auto"/>
          <w:sz w:val="32"/>
          <w:szCs w:val="32"/>
          <w:lang w:bidi="en-US"/>
        </w:rPr>
        <w:t>污染</w:t>
      </w:r>
      <w:r>
        <w:rPr>
          <w:rFonts w:eastAsia="楷体"/>
          <w:b/>
          <w:bCs/>
          <w:color w:val="auto"/>
          <w:sz w:val="32"/>
          <w:szCs w:val="32"/>
          <w:lang w:bidi="en-US"/>
        </w:rPr>
        <w:t>防治措施。</w:t>
      </w:r>
    </w:p>
    <w:p w14:paraId="08D65FB0">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default" w:ascii="仿宋_GB2312" w:hAnsi="仿宋_GB2312" w:eastAsia="仿宋_GB2312" w:cs="仿宋_GB2312"/>
          <w:bCs/>
          <w:color w:val="000000"/>
          <w:sz w:val="32"/>
          <w:szCs w:val="32"/>
          <w:lang w:eastAsia="zh-CN" w:bidi="en-US"/>
        </w:rPr>
      </w:pPr>
      <w:r>
        <w:rPr>
          <w:rFonts w:hint="default" w:ascii="仿宋_GB2312" w:hAnsi="仿宋_GB2312" w:eastAsia="仿宋_GB2312" w:cs="仿宋_GB2312"/>
          <w:bCs/>
          <w:color w:val="000000"/>
          <w:sz w:val="32"/>
          <w:szCs w:val="32"/>
          <w:lang w:eastAsia="zh-CN" w:bidi="en-US"/>
        </w:rPr>
        <w:t>项目施工期严格落实施工现场围挡、物料堆放覆盖、土方开 挖湿法作业、路面硬化、出入车辆清洗、渣土车辆密闭运输“六 个标准化”等防尘措施</w:t>
      </w:r>
      <w:r>
        <w:rPr>
          <w:rFonts w:hint="eastAsia" w:ascii="仿宋_GB2312" w:hAnsi="仿宋_GB2312" w:eastAsia="仿宋_GB2312" w:cs="仿宋_GB2312"/>
          <w:bCs/>
          <w:color w:val="000000"/>
          <w:sz w:val="32"/>
          <w:szCs w:val="32"/>
          <w:lang w:eastAsia="zh-CN" w:bidi="en-US"/>
        </w:rPr>
        <w:t>。随着施工过程的结束，施工期对周围环境的影响也将随之结束。</w:t>
      </w:r>
    </w:p>
    <w:p w14:paraId="6FE94923">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eastAsia" w:ascii="仿宋_GB2312" w:hAnsi="仿宋_GB2312" w:eastAsia="仿宋_GB2312" w:cs="仿宋_GB2312"/>
          <w:bCs/>
          <w:color w:val="000000"/>
          <w:sz w:val="32"/>
          <w:szCs w:val="32"/>
          <w:lang w:eastAsia="zh-CN" w:bidi="en-US"/>
        </w:rPr>
      </w:pPr>
      <w:r>
        <w:rPr>
          <w:rFonts w:hint="default" w:ascii="仿宋_GB2312" w:hAnsi="仿宋_GB2312" w:eastAsia="仿宋_GB2312" w:cs="仿宋_GB2312"/>
          <w:bCs/>
          <w:color w:val="000000"/>
          <w:sz w:val="32"/>
          <w:szCs w:val="32"/>
          <w:lang w:eastAsia="zh-CN" w:bidi="en-US"/>
        </w:rPr>
        <w:t>项目</w:t>
      </w:r>
      <w:r>
        <w:rPr>
          <w:rFonts w:hint="eastAsia" w:ascii="仿宋_GB2312" w:hAnsi="仿宋_GB2312" w:eastAsia="仿宋_GB2312" w:cs="仿宋_GB2312"/>
          <w:bCs/>
          <w:color w:val="000000"/>
          <w:sz w:val="32"/>
          <w:szCs w:val="32"/>
          <w:lang w:val="en-US" w:eastAsia="zh-CN" w:bidi="en-US"/>
        </w:rPr>
        <w:t>运行期</w:t>
      </w:r>
      <w:r>
        <w:rPr>
          <w:rFonts w:hint="default" w:ascii="仿宋_GB2312" w:hAnsi="仿宋_GB2312" w:eastAsia="仿宋_GB2312" w:cs="仿宋_GB2312"/>
          <w:bCs/>
          <w:color w:val="000000"/>
          <w:sz w:val="32"/>
          <w:szCs w:val="32"/>
          <w:lang w:eastAsia="zh-CN" w:bidi="en-US"/>
        </w:rPr>
        <w:t>废气主要</w:t>
      </w:r>
      <w:r>
        <w:rPr>
          <w:rFonts w:hint="eastAsia" w:ascii="仿宋_GB2312" w:hAnsi="仿宋_GB2312" w:eastAsia="仿宋_GB2312" w:cs="仿宋_GB2312"/>
          <w:bCs/>
          <w:color w:val="000000"/>
          <w:sz w:val="32"/>
          <w:szCs w:val="32"/>
          <w:lang w:val="en-US" w:eastAsia="zh-CN" w:bidi="en-US"/>
        </w:rPr>
        <w:t>为</w:t>
      </w:r>
      <w:r>
        <w:rPr>
          <w:rFonts w:hint="default" w:ascii="仿宋_GB2312" w:hAnsi="仿宋_GB2312" w:eastAsia="仿宋_GB2312" w:cs="仿宋_GB2312"/>
          <w:bCs/>
          <w:color w:val="000000"/>
          <w:sz w:val="32"/>
          <w:szCs w:val="32"/>
          <w:lang w:eastAsia="zh-CN" w:bidi="en-US"/>
        </w:rPr>
        <w:t>动静密封点挥发废气、安全放空废气</w:t>
      </w:r>
      <w:r>
        <w:rPr>
          <w:rFonts w:hint="eastAsia" w:ascii="仿宋_GB2312" w:hAnsi="仿宋_GB2312" w:eastAsia="仿宋_GB2312" w:cs="仿宋_GB2312"/>
          <w:bCs/>
          <w:color w:val="000000"/>
          <w:sz w:val="32"/>
          <w:szCs w:val="32"/>
          <w:lang w:eastAsia="zh-CN" w:bidi="en-US"/>
        </w:rPr>
        <w:t>。</w:t>
      </w:r>
      <w:r>
        <w:rPr>
          <w:rFonts w:hint="default" w:ascii="仿宋_GB2312" w:hAnsi="仿宋_GB2312" w:eastAsia="仿宋_GB2312" w:cs="仿宋_GB2312"/>
          <w:bCs/>
          <w:color w:val="000000"/>
          <w:sz w:val="32"/>
          <w:szCs w:val="32"/>
          <w:lang w:eastAsia="zh-CN" w:bidi="en-US"/>
        </w:rPr>
        <w:t>设备运行中加强维护，从而减少动静密封点挥发废气。</w:t>
      </w:r>
      <w:r>
        <w:rPr>
          <w:rFonts w:hint="eastAsia" w:ascii="仿宋_GB2312" w:hAnsi="仿宋_GB2312" w:eastAsia="仿宋_GB2312" w:cs="仿宋_GB2312"/>
          <w:bCs/>
          <w:color w:val="000000"/>
          <w:sz w:val="32"/>
          <w:szCs w:val="32"/>
          <w:lang w:val="en-US" w:eastAsia="zh-CN" w:bidi="en-US"/>
        </w:rPr>
        <w:t>本项目</w:t>
      </w:r>
      <w:r>
        <w:rPr>
          <w:rFonts w:hint="default" w:ascii="仿宋_GB2312" w:hAnsi="仿宋_GB2312" w:eastAsia="仿宋_GB2312" w:cs="仿宋_GB2312"/>
          <w:bCs/>
          <w:color w:val="000000"/>
          <w:sz w:val="32"/>
          <w:szCs w:val="32"/>
          <w:lang w:eastAsia="zh-CN" w:bidi="en-US"/>
        </w:rPr>
        <w:t>天然气的安全放空</w:t>
      </w:r>
      <w:r>
        <w:rPr>
          <w:rFonts w:hint="eastAsia" w:ascii="仿宋_GB2312" w:hAnsi="仿宋_GB2312" w:eastAsia="仿宋_GB2312" w:cs="仿宋_GB2312"/>
          <w:bCs/>
          <w:color w:val="000000"/>
          <w:sz w:val="32"/>
          <w:szCs w:val="32"/>
          <w:lang w:val="en-US" w:eastAsia="zh-CN" w:bidi="en-US"/>
        </w:rPr>
        <w:t>依托</w:t>
      </w:r>
      <w:r>
        <w:rPr>
          <w:rFonts w:hint="eastAsia" w:ascii="仿宋_GB2312" w:hAnsi="仿宋_GB2312" w:eastAsia="仿宋_GB2312" w:cs="仿宋_GB2312"/>
          <w:bCs/>
          <w:color w:val="000000"/>
          <w:sz w:val="32"/>
          <w:szCs w:val="32"/>
          <w:lang w:eastAsia="zh-CN" w:bidi="en-US"/>
        </w:rPr>
        <w:t>76#阀室现有排空系统排放</w:t>
      </w:r>
      <w:r>
        <w:rPr>
          <w:rFonts w:hint="default" w:ascii="仿宋_GB2312" w:hAnsi="仿宋_GB2312" w:eastAsia="仿宋_GB2312" w:cs="仿宋_GB2312"/>
          <w:bCs/>
          <w:color w:val="000000"/>
          <w:sz w:val="32"/>
          <w:szCs w:val="32"/>
          <w:lang w:eastAsia="zh-CN" w:bidi="en-US"/>
        </w:rPr>
        <w:t>。无组织非甲烷总烃执行《大气污染物综合排放标准》(GB16297-1996)中表2中无组织排放监控浓度限值</w:t>
      </w:r>
      <w:r>
        <w:rPr>
          <w:rFonts w:hint="eastAsia" w:ascii="仿宋_GB2312" w:hAnsi="仿宋_GB2312" w:eastAsia="仿宋_GB2312" w:cs="仿宋_GB2312"/>
          <w:bCs/>
          <w:color w:val="000000"/>
          <w:sz w:val="32"/>
          <w:szCs w:val="32"/>
          <w:lang w:eastAsia="zh-CN" w:bidi="en-US"/>
        </w:rPr>
        <w:t>。</w:t>
      </w:r>
    </w:p>
    <w:p w14:paraId="27A74474">
      <w:pPr>
        <w:keepNext w:val="0"/>
        <w:keepLines w:val="0"/>
        <w:pageBreakBefore w:val="0"/>
        <w:widowControl w:val="0"/>
        <w:kinsoku/>
        <w:overflowPunct/>
        <w:topLinePunct w:val="0"/>
        <w:autoSpaceDE/>
        <w:autoSpaceDN/>
        <w:bidi w:val="0"/>
        <w:spacing w:line="550" w:lineRule="exact"/>
        <w:ind w:firstLine="643" w:firstLineChars="200"/>
        <w:textAlignment w:val="auto"/>
        <w:rPr>
          <w:rFonts w:eastAsia="楷体"/>
          <w:b/>
          <w:bCs/>
          <w:color w:val="auto"/>
          <w:sz w:val="32"/>
          <w:szCs w:val="32"/>
          <w:lang w:bidi="en-US"/>
        </w:rPr>
      </w:pPr>
      <w:r>
        <w:rPr>
          <w:rFonts w:eastAsia="楷体"/>
          <w:b/>
          <w:bCs/>
          <w:color w:val="auto"/>
          <w:sz w:val="32"/>
          <w:szCs w:val="32"/>
          <w:lang w:bidi="en-US"/>
        </w:rPr>
        <w:t>（二）水</w:t>
      </w:r>
      <w:r>
        <w:rPr>
          <w:rFonts w:hint="eastAsia" w:eastAsia="楷体"/>
          <w:b/>
          <w:bCs/>
          <w:color w:val="auto"/>
          <w:sz w:val="32"/>
          <w:szCs w:val="32"/>
          <w:lang w:bidi="en-US"/>
        </w:rPr>
        <w:t>污染</w:t>
      </w:r>
      <w:r>
        <w:rPr>
          <w:rFonts w:eastAsia="楷体"/>
          <w:b/>
          <w:bCs/>
          <w:color w:val="auto"/>
          <w:sz w:val="32"/>
          <w:szCs w:val="32"/>
          <w:lang w:bidi="en-US"/>
        </w:rPr>
        <w:t>防治措施。</w:t>
      </w:r>
    </w:p>
    <w:p w14:paraId="0805EDD9">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default" w:ascii="仿宋_GB2312" w:hAnsi="仿宋_GB2312" w:eastAsia="仿宋_GB2312" w:cs="仿宋_GB2312"/>
          <w:bCs/>
          <w:color w:val="000000"/>
          <w:sz w:val="32"/>
          <w:szCs w:val="32"/>
          <w:lang w:eastAsia="zh-CN" w:bidi="en-US"/>
        </w:rPr>
      </w:pPr>
      <w:r>
        <w:rPr>
          <w:rFonts w:hint="default" w:ascii="仿宋_GB2312" w:hAnsi="仿宋_GB2312" w:eastAsia="仿宋_GB2312" w:cs="仿宋_GB2312"/>
          <w:bCs/>
          <w:color w:val="000000"/>
          <w:sz w:val="32"/>
          <w:szCs w:val="32"/>
          <w:lang w:eastAsia="zh-CN" w:bidi="en-US"/>
        </w:rPr>
        <w:t>施工期</w:t>
      </w:r>
      <w:r>
        <w:rPr>
          <w:rFonts w:hint="eastAsia" w:ascii="仿宋_GB2312" w:hAnsi="仿宋_GB2312" w:eastAsia="仿宋_GB2312" w:cs="仿宋_GB2312"/>
          <w:bCs/>
          <w:color w:val="000000"/>
          <w:sz w:val="32"/>
          <w:szCs w:val="32"/>
          <w:lang w:eastAsia="zh-CN" w:bidi="en-US"/>
        </w:rPr>
        <w:t>废水主要为施工废水和试压废水，施工废水经临时沉淀池沉淀处理后回用或泼洒抑尘；试压废水</w:t>
      </w:r>
      <w:r>
        <w:rPr>
          <w:rFonts w:hint="eastAsia" w:ascii="仿宋_GB2312" w:hAnsi="仿宋_GB2312" w:eastAsia="仿宋_GB2312" w:cs="仿宋_GB2312"/>
          <w:bCs/>
          <w:color w:val="000000"/>
          <w:sz w:val="32"/>
          <w:szCs w:val="32"/>
          <w:lang w:val="en-US" w:eastAsia="zh-CN" w:bidi="en-US"/>
        </w:rPr>
        <w:t>直接用于</w:t>
      </w:r>
      <w:r>
        <w:rPr>
          <w:rFonts w:hint="eastAsia" w:ascii="仿宋_GB2312" w:hAnsi="仿宋_GB2312" w:eastAsia="仿宋_GB2312" w:cs="仿宋_GB2312"/>
          <w:bCs/>
          <w:color w:val="000000"/>
          <w:sz w:val="32"/>
          <w:szCs w:val="32"/>
          <w:lang w:eastAsia="zh-CN" w:bidi="en-US"/>
        </w:rPr>
        <w:t>泼洒抑尘，不外排。</w:t>
      </w:r>
    </w:p>
    <w:p w14:paraId="3CF0AE38">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default" w:ascii="仿宋_GB2312" w:hAnsi="仿宋_GB2312" w:eastAsia="仿宋_GB2312" w:cs="仿宋_GB2312"/>
          <w:bCs/>
          <w:color w:val="000000"/>
          <w:sz w:val="32"/>
          <w:szCs w:val="32"/>
          <w:lang w:bidi="en-US"/>
        </w:rPr>
      </w:pPr>
      <w:r>
        <w:rPr>
          <w:rFonts w:hint="eastAsia" w:ascii="仿宋_GB2312" w:hAnsi="仿宋_GB2312" w:eastAsia="仿宋_GB2312" w:cs="仿宋_GB2312"/>
          <w:bCs/>
          <w:color w:val="000000"/>
          <w:sz w:val="32"/>
          <w:szCs w:val="32"/>
          <w:lang w:eastAsia="zh-CN" w:bidi="en-US"/>
        </w:rPr>
        <w:t>本项目采用无人值守工作制，项目运</w:t>
      </w:r>
      <w:r>
        <w:rPr>
          <w:rFonts w:hint="eastAsia" w:ascii="仿宋_GB2312" w:hAnsi="仿宋_GB2312" w:eastAsia="仿宋_GB2312" w:cs="仿宋_GB2312"/>
          <w:bCs/>
          <w:color w:val="000000"/>
          <w:sz w:val="32"/>
          <w:szCs w:val="32"/>
          <w:lang w:val="en-US" w:eastAsia="zh-CN" w:bidi="en-US"/>
        </w:rPr>
        <w:t>营</w:t>
      </w:r>
      <w:r>
        <w:rPr>
          <w:rFonts w:hint="eastAsia" w:ascii="仿宋_GB2312" w:hAnsi="仿宋_GB2312" w:eastAsia="仿宋_GB2312" w:cs="仿宋_GB2312"/>
          <w:bCs/>
          <w:color w:val="000000"/>
          <w:sz w:val="32"/>
          <w:szCs w:val="32"/>
          <w:lang w:eastAsia="zh-CN" w:bidi="en-US"/>
        </w:rPr>
        <w:t>期无废水产生。</w:t>
      </w:r>
    </w:p>
    <w:p w14:paraId="409FAB8C">
      <w:pPr>
        <w:keepNext w:val="0"/>
        <w:keepLines w:val="0"/>
        <w:pageBreakBefore w:val="0"/>
        <w:widowControl w:val="0"/>
        <w:kinsoku/>
        <w:overflowPunct/>
        <w:topLinePunct w:val="0"/>
        <w:autoSpaceDE/>
        <w:autoSpaceDN/>
        <w:bidi w:val="0"/>
        <w:spacing w:line="550" w:lineRule="exact"/>
        <w:ind w:firstLine="643" w:firstLineChars="200"/>
        <w:textAlignment w:val="auto"/>
        <w:rPr>
          <w:rFonts w:eastAsia="仿宋_GB2312"/>
          <w:b/>
          <w:bCs/>
          <w:color w:val="auto"/>
          <w:sz w:val="32"/>
          <w:szCs w:val="32"/>
          <w:lang w:bidi="en-US"/>
        </w:rPr>
      </w:pPr>
      <w:r>
        <w:rPr>
          <w:rFonts w:eastAsia="楷体"/>
          <w:b/>
          <w:bCs/>
          <w:color w:val="auto"/>
          <w:sz w:val="32"/>
          <w:szCs w:val="32"/>
          <w:lang w:bidi="en-US"/>
        </w:rPr>
        <w:t>（三）</w:t>
      </w:r>
      <w:r>
        <w:rPr>
          <w:rFonts w:hint="eastAsia" w:eastAsia="楷体"/>
          <w:b/>
          <w:bCs/>
          <w:color w:val="auto"/>
          <w:sz w:val="32"/>
          <w:szCs w:val="32"/>
          <w:lang w:bidi="en-US"/>
        </w:rPr>
        <w:t>固体废物污染</w:t>
      </w:r>
      <w:r>
        <w:rPr>
          <w:rFonts w:eastAsia="楷体"/>
          <w:b/>
          <w:bCs/>
          <w:color w:val="auto"/>
          <w:sz w:val="32"/>
          <w:szCs w:val="32"/>
          <w:lang w:bidi="en-US"/>
        </w:rPr>
        <w:t>防治措施。</w:t>
      </w:r>
    </w:p>
    <w:p w14:paraId="3D4DC8E4">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default" w:ascii="仿宋_GB2312" w:hAnsi="仿宋_GB2312" w:eastAsia="仿宋_GB2312" w:cs="仿宋_GB2312"/>
          <w:bCs/>
          <w:color w:val="000000"/>
          <w:sz w:val="32"/>
          <w:szCs w:val="32"/>
          <w:lang w:val="en-US" w:eastAsia="zh-CN" w:bidi="en-US"/>
        </w:rPr>
      </w:pPr>
      <w:r>
        <w:rPr>
          <w:rFonts w:hint="default" w:ascii="仿宋_GB2312" w:hAnsi="仿宋_GB2312" w:eastAsia="仿宋_GB2312" w:cs="仿宋_GB2312"/>
          <w:bCs/>
          <w:color w:val="000000"/>
          <w:sz w:val="32"/>
          <w:szCs w:val="32"/>
          <w:lang w:val="en-US" w:eastAsia="zh-CN" w:bidi="en-US"/>
        </w:rPr>
        <w:t>施工期土石方就地平衡，无取弃土；施工期建筑垃圾外运清 理，送往指定地点；焊渣由相关专业回收公司回收利用</w:t>
      </w:r>
      <w:r>
        <w:rPr>
          <w:rFonts w:hint="eastAsia" w:ascii="仿宋_GB2312" w:hAnsi="仿宋_GB2312" w:eastAsia="仿宋_GB2312" w:cs="仿宋_GB2312"/>
          <w:bCs/>
          <w:color w:val="000000"/>
          <w:sz w:val="32"/>
          <w:szCs w:val="32"/>
          <w:lang w:val="en-US" w:eastAsia="zh-CN" w:bidi="en-US"/>
        </w:rPr>
        <w:t>；施工泥浆固化处理后就地埋入防渗泥浆池，填埋后覆盖耕作土，恢复原有地貌</w:t>
      </w:r>
      <w:r>
        <w:rPr>
          <w:rFonts w:hint="default" w:ascii="仿宋_GB2312" w:hAnsi="仿宋_GB2312" w:eastAsia="仿宋_GB2312" w:cs="仿宋_GB2312"/>
          <w:bCs/>
          <w:color w:val="000000"/>
          <w:sz w:val="32"/>
          <w:szCs w:val="32"/>
          <w:lang w:val="en-US" w:eastAsia="zh-CN" w:bidi="en-US"/>
        </w:rPr>
        <w:t>。</w:t>
      </w:r>
    </w:p>
    <w:p w14:paraId="037E7584">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default" w:ascii="仿宋_GB2312" w:hAnsi="仿宋_GB2312" w:eastAsia="仿宋_GB2312" w:cs="仿宋_GB2312"/>
          <w:bCs/>
          <w:color w:val="000000"/>
          <w:sz w:val="32"/>
          <w:szCs w:val="32"/>
          <w:lang w:eastAsia="zh-CN" w:bidi="en-US"/>
        </w:rPr>
      </w:pPr>
      <w:r>
        <w:rPr>
          <w:rFonts w:hint="default" w:ascii="仿宋_GB2312" w:hAnsi="仿宋_GB2312" w:eastAsia="仿宋_GB2312" w:cs="仿宋_GB2312"/>
          <w:bCs/>
          <w:color w:val="000000"/>
          <w:sz w:val="32"/>
          <w:szCs w:val="32"/>
          <w:lang w:eastAsia="zh-CN" w:bidi="en-US"/>
        </w:rPr>
        <w:t>运营期</w:t>
      </w:r>
      <w:r>
        <w:rPr>
          <w:rFonts w:hint="eastAsia" w:ascii="仿宋_GB2312" w:hAnsi="仿宋_GB2312" w:eastAsia="仿宋_GB2312" w:cs="仿宋_GB2312"/>
          <w:bCs/>
          <w:color w:val="000000"/>
          <w:sz w:val="32"/>
          <w:szCs w:val="32"/>
          <w:lang w:eastAsia="zh-CN" w:bidi="en-US"/>
        </w:rPr>
        <w:t>站场定期由专业单位进行维护保养，废机油和废滤芯更换后</w:t>
      </w:r>
      <w:r>
        <w:rPr>
          <w:rFonts w:hint="eastAsia" w:ascii="仿宋_GB2312" w:hAnsi="仿宋_GB2312" w:eastAsia="仿宋_GB2312" w:cs="仿宋_GB2312"/>
          <w:bCs/>
          <w:color w:val="000000"/>
          <w:sz w:val="32"/>
          <w:szCs w:val="32"/>
          <w:lang w:val="en-US" w:eastAsia="zh-CN" w:bidi="en-US"/>
        </w:rPr>
        <w:t>暂存至危废贮存点</w:t>
      </w:r>
      <w:r>
        <w:rPr>
          <w:rFonts w:hint="eastAsia" w:ascii="仿宋_GB2312" w:hAnsi="仿宋_GB2312" w:eastAsia="仿宋_GB2312" w:cs="仿宋_GB2312"/>
          <w:bCs/>
          <w:color w:val="000000"/>
          <w:sz w:val="32"/>
          <w:szCs w:val="32"/>
          <w:lang w:eastAsia="zh-CN" w:bidi="en-US"/>
        </w:rPr>
        <w:t>。过滤分离器定期排污废渣，排入排污池暂存。</w:t>
      </w:r>
      <w:r>
        <w:rPr>
          <w:rFonts w:hint="eastAsia" w:ascii="仿宋_GB2312" w:hAnsi="仿宋_GB2312" w:eastAsia="仿宋_GB2312" w:cs="仿宋_GB2312"/>
          <w:bCs/>
          <w:color w:val="000000"/>
          <w:sz w:val="32"/>
          <w:szCs w:val="32"/>
          <w:lang w:val="en-US" w:eastAsia="zh-CN" w:bidi="en-US"/>
        </w:rPr>
        <w:t>危险废物全部委托有资质单位安全处置</w:t>
      </w:r>
      <w:r>
        <w:rPr>
          <w:rFonts w:hint="eastAsia" w:ascii="仿宋_GB2312" w:hAnsi="仿宋_GB2312" w:eastAsia="仿宋_GB2312" w:cs="仿宋_GB2312"/>
          <w:bCs/>
          <w:color w:val="000000"/>
          <w:sz w:val="32"/>
          <w:szCs w:val="32"/>
          <w:lang w:eastAsia="zh-CN" w:bidi="en-US"/>
        </w:rPr>
        <w:t>。</w:t>
      </w:r>
    </w:p>
    <w:p w14:paraId="7604D36D">
      <w:pPr>
        <w:keepNext w:val="0"/>
        <w:keepLines w:val="0"/>
        <w:pageBreakBefore w:val="0"/>
        <w:widowControl w:val="0"/>
        <w:kinsoku/>
        <w:overflowPunct/>
        <w:topLinePunct w:val="0"/>
        <w:autoSpaceDE/>
        <w:autoSpaceDN/>
        <w:bidi w:val="0"/>
        <w:spacing w:line="550" w:lineRule="exact"/>
        <w:ind w:firstLine="643" w:firstLineChars="200"/>
        <w:textAlignment w:val="auto"/>
        <w:rPr>
          <w:rFonts w:eastAsia="楷体"/>
          <w:b/>
          <w:bCs/>
          <w:color w:val="auto"/>
          <w:sz w:val="32"/>
          <w:szCs w:val="32"/>
          <w:lang w:bidi="en-US"/>
        </w:rPr>
      </w:pPr>
      <w:r>
        <w:rPr>
          <w:rFonts w:eastAsia="楷体"/>
          <w:b/>
          <w:bCs/>
          <w:color w:val="auto"/>
          <w:sz w:val="32"/>
          <w:szCs w:val="32"/>
          <w:lang w:bidi="en-US"/>
        </w:rPr>
        <w:t>（四）噪声</w:t>
      </w:r>
      <w:r>
        <w:rPr>
          <w:rFonts w:hint="eastAsia" w:eastAsia="楷体"/>
          <w:b/>
          <w:bCs/>
          <w:color w:val="auto"/>
          <w:sz w:val="32"/>
          <w:szCs w:val="32"/>
          <w:lang w:bidi="en-US"/>
        </w:rPr>
        <w:t>污染</w:t>
      </w:r>
      <w:r>
        <w:rPr>
          <w:rFonts w:eastAsia="楷体"/>
          <w:b/>
          <w:bCs/>
          <w:color w:val="auto"/>
          <w:sz w:val="32"/>
          <w:szCs w:val="32"/>
          <w:lang w:bidi="en-US"/>
        </w:rPr>
        <w:t>防治措施。</w:t>
      </w:r>
    </w:p>
    <w:p w14:paraId="0E081844">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eastAsia" w:ascii="仿宋_GB2312" w:hAnsi="仿宋_GB2312" w:eastAsia="仿宋_GB2312" w:cs="仿宋_GB2312"/>
          <w:bCs/>
          <w:color w:val="000000"/>
          <w:sz w:val="32"/>
          <w:szCs w:val="32"/>
          <w:lang w:eastAsia="zh-CN" w:bidi="en-US"/>
        </w:rPr>
      </w:pPr>
      <w:r>
        <w:rPr>
          <w:rFonts w:hint="eastAsia" w:ascii="仿宋_GB2312" w:hAnsi="仿宋_GB2312" w:eastAsia="仿宋_GB2312" w:cs="仿宋_GB2312"/>
          <w:bCs/>
          <w:color w:val="000000"/>
          <w:sz w:val="32"/>
          <w:szCs w:val="32"/>
          <w:lang w:val="en-US" w:eastAsia="zh-CN" w:bidi="en-US"/>
        </w:rPr>
        <w:t>施工期</w:t>
      </w:r>
      <w:r>
        <w:rPr>
          <w:rFonts w:hint="eastAsia" w:ascii="仿宋_GB2312" w:hAnsi="仿宋_GB2312" w:eastAsia="仿宋_GB2312" w:cs="仿宋_GB2312"/>
          <w:bCs/>
          <w:color w:val="000000"/>
          <w:sz w:val="32"/>
          <w:szCs w:val="32"/>
          <w:lang w:eastAsia="zh-CN" w:bidi="en-US"/>
        </w:rPr>
        <w:t>采取合理安排施工时间，高噪声施工机械严禁在夜间施工作业</w:t>
      </w:r>
      <w:r>
        <w:rPr>
          <w:rFonts w:hint="eastAsia" w:ascii="仿宋_GB2312" w:hAnsi="仿宋_GB2312" w:eastAsia="仿宋_GB2312" w:cs="仿宋_GB2312"/>
          <w:bCs/>
          <w:color w:val="000000"/>
          <w:sz w:val="32"/>
          <w:szCs w:val="32"/>
          <w:lang w:val="en-US" w:eastAsia="zh-CN" w:bidi="en-US"/>
        </w:rPr>
        <w:t>等</w:t>
      </w:r>
      <w:r>
        <w:rPr>
          <w:rFonts w:hint="eastAsia" w:ascii="仿宋_GB2312" w:hAnsi="仿宋_GB2312" w:eastAsia="仿宋_GB2312" w:cs="仿宋_GB2312"/>
          <w:bCs/>
          <w:color w:val="000000"/>
          <w:sz w:val="32"/>
          <w:szCs w:val="32"/>
          <w:lang w:eastAsia="zh-CN" w:bidi="en-US"/>
        </w:rPr>
        <w:t>隔声、减振、消声等降噪措施；施工期噪声排放执行《建筑施工厂界环境噪声排放标准》(GB12523-2011)表1中限值。</w:t>
      </w:r>
    </w:p>
    <w:p w14:paraId="6228686E">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eastAsia" w:ascii="仿宋_GB2312" w:hAnsi="仿宋_GB2312" w:eastAsia="仿宋_GB2312" w:cs="仿宋_GB2312"/>
          <w:bCs/>
          <w:color w:val="000000"/>
          <w:sz w:val="32"/>
          <w:szCs w:val="32"/>
          <w:lang w:bidi="en-US"/>
        </w:rPr>
      </w:pPr>
      <w:r>
        <w:rPr>
          <w:rFonts w:hint="default" w:ascii="仿宋_GB2312" w:hAnsi="仿宋_GB2312" w:eastAsia="仿宋_GB2312" w:cs="仿宋_GB2312"/>
          <w:bCs/>
          <w:color w:val="000000"/>
          <w:sz w:val="32"/>
          <w:szCs w:val="32"/>
          <w:lang w:eastAsia="zh-CN" w:bidi="en-US"/>
        </w:rPr>
        <w:t>运营期选用低噪声设备</w:t>
      </w:r>
      <w:r>
        <w:rPr>
          <w:rFonts w:hint="eastAsia" w:ascii="仿宋_GB2312" w:hAnsi="仿宋_GB2312" w:eastAsia="仿宋_GB2312" w:cs="仿宋_GB2312"/>
          <w:bCs/>
          <w:color w:val="000000"/>
          <w:sz w:val="32"/>
          <w:szCs w:val="32"/>
          <w:lang w:eastAsia="zh-CN" w:bidi="en-US"/>
        </w:rPr>
        <w:t>、</w:t>
      </w:r>
      <w:r>
        <w:rPr>
          <w:rFonts w:hint="default" w:ascii="仿宋_GB2312" w:hAnsi="仿宋_GB2312" w:eastAsia="仿宋_GB2312" w:cs="仿宋_GB2312"/>
          <w:bCs/>
          <w:color w:val="000000"/>
          <w:sz w:val="32"/>
          <w:szCs w:val="32"/>
          <w:lang w:eastAsia="zh-CN" w:bidi="en-US"/>
        </w:rPr>
        <w:t>基础减震</w:t>
      </w:r>
      <w:r>
        <w:rPr>
          <w:rFonts w:hint="eastAsia" w:ascii="仿宋_GB2312" w:hAnsi="仿宋_GB2312" w:eastAsia="仿宋_GB2312" w:cs="仿宋_GB2312"/>
          <w:bCs/>
          <w:color w:val="000000"/>
          <w:sz w:val="32"/>
          <w:szCs w:val="32"/>
          <w:lang w:eastAsia="zh-CN" w:bidi="en-US"/>
        </w:rPr>
        <w:t>、</w:t>
      </w:r>
      <w:r>
        <w:rPr>
          <w:rFonts w:hint="default" w:ascii="仿宋_GB2312" w:hAnsi="仿宋_GB2312" w:eastAsia="仿宋_GB2312" w:cs="仿宋_GB2312"/>
          <w:bCs/>
          <w:color w:val="000000"/>
          <w:sz w:val="32"/>
          <w:szCs w:val="32"/>
          <w:lang w:eastAsia="zh-CN" w:bidi="en-US"/>
        </w:rPr>
        <w:t>距离衰减等措施</w:t>
      </w:r>
      <w:r>
        <w:rPr>
          <w:rFonts w:hint="eastAsia" w:ascii="仿宋_GB2312" w:hAnsi="仿宋_GB2312" w:eastAsia="仿宋_GB2312" w:cs="仿宋_GB2312"/>
          <w:bCs/>
          <w:color w:val="000000"/>
          <w:sz w:val="32"/>
          <w:szCs w:val="32"/>
          <w:lang w:eastAsia="zh-CN" w:bidi="en-US"/>
        </w:rPr>
        <w:t>，</w:t>
      </w:r>
      <w:r>
        <w:rPr>
          <w:rFonts w:hint="default" w:ascii="仿宋_GB2312" w:hAnsi="仿宋_GB2312" w:eastAsia="仿宋_GB2312" w:cs="仿宋_GB2312"/>
          <w:bCs/>
          <w:color w:val="000000"/>
          <w:sz w:val="32"/>
          <w:szCs w:val="32"/>
          <w:lang w:eastAsia="zh-CN" w:bidi="en-US"/>
        </w:rPr>
        <w:t>通过</w:t>
      </w:r>
      <w:r>
        <w:rPr>
          <w:rFonts w:hint="eastAsia" w:ascii="仿宋_GB2312" w:hAnsi="仿宋_GB2312" w:eastAsia="仿宋_GB2312" w:cs="仿宋_GB2312"/>
          <w:bCs/>
          <w:color w:val="000000"/>
          <w:sz w:val="32"/>
          <w:szCs w:val="32"/>
          <w:lang w:eastAsia="zh-CN" w:bidi="en-US"/>
        </w:rPr>
        <w:t>以上措施可有效地减小噪声对外界的影响，满足《工业企业厂界环境噪声排放标准》</w:t>
      </w:r>
      <w:r>
        <w:rPr>
          <w:rFonts w:hint="default" w:ascii="仿宋_GB2312" w:hAnsi="仿宋_GB2312" w:eastAsia="仿宋_GB2312" w:cs="仿宋_GB2312"/>
          <w:bCs/>
          <w:color w:val="000000"/>
          <w:sz w:val="32"/>
          <w:szCs w:val="32"/>
          <w:lang w:eastAsia="zh-CN" w:bidi="en-US"/>
        </w:rPr>
        <w:t>（GB12348-2008）</w:t>
      </w:r>
      <w:r>
        <w:rPr>
          <w:rFonts w:hint="eastAsia" w:ascii="仿宋_GB2312" w:hAnsi="仿宋_GB2312" w:eastAsia="仿宋_GB2312" w:cs="仿宋_GB2312"/>
          <w:bCs/>
          <w:color w:val="000000"/>
          <w:sz w:val="32"/>
          <w:szCs w:val="32"/>
          <w:lang w:val="en-US" w:eastAsia="zh-CN" w:bidi="en-US"/>
        </w:rPr>
        <w:t>1</w:t>
      </w:r>
      <w:r>
        <w:rPr>
          <w:rFonts w:hint="eastAsia" w:ascii="仿宋_GB2312" w:hAnsi="仿宋_GB2312" w:eastAsia="仿宋_GB2312" w:cs="仿宋_GB2312"/>
          <w:bCs/>
          <w:color w:val="000000"/>
          <w:sz w:val="32"/>
          <w:szCs w:val="32"/>
          <w:lang w:eastAsia="zh-CN" w:bidi="en-US"/>
        </w:rPr>
        <w:t>类标准。</w:t>
      </w:r>
    </w:p>
    <w:p w14:paraId="59FEA1CE">
      <w:pPr>
        <w:keepNext w:val="0"/>
        <w:keepLines w:val="0"/>
        <w:pageBreakBefore w:val="0"/>
        <w:widowControl w:val="0"/>
        <w:kinsoku/>
        <w:overflowPunct/>
        <w:topLinePunct w:val="0"/>
        <w:autoSpaceDE/>
        <w:autoSpaceDN/>
        <w:bidi w:val="0"/>
        <w:spacing w:line="550" w:lineRule="exact"/>
        <w:ind w:firstLine="643" w:firstLineChars="200"/>
        <w:textAlignment w:val="auto"/>
        <w:rPr>
          <w:rFonts w:eastAsia="楷体"/>
          <w:b/>
          <w:bCs/>
          <w:color w:val="auto"/>
          <w:sz w:val="32"/>
          <w:szCs w:val="32"/>
          <w:lang w:bidi="en-US"/>
        </w:rPr>
      </w:pPr>
      <w:r>
        <w:rPr>
          <w:rFonts w:eastAsia="楷体"/>
          <w:b/>
          <w:bCs/>
          <w:color w:val="auto"/>
          <w:sz w:val="32"/>
          <w:szCs w:val="32"/>
          <w:lang w:bidi="en-US"/>
        </w:rPr>
        <w:t>（</w:t>
      </w:r>
      <w:r>
        <w:rPr>
          <w:rFonts w:hint="eastAsia" w:eastAsia="楷体"/>
          <w:b/>
          <w:bCs/>
          <w:color w:val="auto"/>
          <w:sz w:val="32"/>
          <w:szCs w:val="32"/>
          <w:lang w:bidi="en-US"/>
        </w:rPr>
        <w:t>五</w:t>
      </w:r>
      <w:r>
        <w:rPr>
          <w:rFonts w:eastAsia="楷体"/>
          <w:b/>
          <w:bCs/>
          <w:color w:val="auto"/>
          <w:sz w:val="32"/>
          <w:szCs w:val="32"/>
          <w:lang w:bidi="en-US"/>
        </w:rPr>
        <w:t>）</w:t>
      </w:r>
      <w:r>
        <w:rPr>
          <w:rFonts w:hint="eastAsia" w:eastAsia="楷体"/>
          <w:b/>
          <w:bCs/>
          <w:color w:val="auto"/>
          <w:sz w:val="32"/>
          <w:szCs w:val="32"/>
          <w:lang w:bidi="en-US"/>
        </w:rPr>
        <w:t>生态保护</w:t>
      </w:r>
      <w:r>
        <w:rPr>
          <w:rFonts w:eastAsia="楷体"/>
          <w:b/>
          <w:bCs/>
          <w:color w:val="auto"/>
          <w:sz w:val="32"/>
          <w:szCs w:val="32"/>
          <w:lang w:bidi="en-US"/>
        </w:rPr>
        <w:t>措施。</w:t>
      </w:r>
    </w:p>
    <w:p w14:paraId="74AD393D">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eastAsia" w:ascii="仿宋_GB2312" w:hAnsi="仿宋_GB2312" w:eastAsia="仿宋_GB2312" w:cs="仿宋_GB2312"/>
          <w:bCs/>
          <w:color w:val="000000"/>
          <w:sz w:val="32"/>
          <w:szCs w:val="32"/>
          <w:lang w:eastAsia="zh-CN" w:bidi="en-US"/>
        </w:rPr>
      </w:pPr>
      <w:r>
        <w:rPr>
          <w:rFonts w:hint="eastAsia" w:ascii="仿宋_GB2312" w:hAnsi="仿宋_GB2312" w:eastAsia="仿宋_GB2312" w:cs="仿宋_GB2312"/>
          <w:bCs/>
          <w:color w:val="000000"/>
          <w:sz w:val="32"/>
          <w:szCs w:val="32"/>
          <w:lang w:eastAsia="zh-CN" w:bidi="en-US"/>
        </w:rPr>
        <w:t>施工期临时占地，采取表土剥离保护措施，分层开挖、分层堆放、分层回填，施工结束经土地平整后，将表土回填至表层， 然后进行复垦，生态环境质量恢复至施工前水平。</w:t>
      </w:r>
    </w:p>
    <w:p w14:paraId="4FA03E23">
      <w:pPr>
        <w:keepNext w:val="0"/>
        <w:keepLines w:val="0"/>
        <w:pageBreakBefore w:val="0"/>
        <w:widowControl w:val="0"/>
        <w:kinsoku/>
        <w:overflowPunct/>
        <w:topLinePunct w:val="0"/>
        <w:autoSpaceDE/>
        <w:autoSpaceDN/>
        <w:bidi w:val="0"/>
        <w:spacing w:line="550" w:lineRule="exact"/>
        <w:ind w:firstLine="643" w:firstLineChars="200"/>
        <w:textAlignment w:val="auto"/>
        <w:rPr>
          <w:rFonts w:hint="eastAsia" w:eastAsia="楷体"/>
          <w:b/>
          <w:bCs/>
          <w:color w:val="auto"/>
          <w:sz w:val="32"/>
          <w:szCs w:val="32"/>
          <w:lang w:val="en-US" w:eastAsia="zh-CN" w:bidi="en-US"/>
        </w:rPr>
      </w:pPr>
      <w:r>
        <w:rPr>
          <w:rFonts w:hint="eastAsia" w:eastAsia="楷体"/>
          <w:b/>
          <w:bCs/>
          <w:color w:val="auto"/>
          <w:sz w:val="32"/>
          <w:szCs w:val="32"/>
          <w:lang w:val="en-US" w:eastAsia="zh-CN" w:bidi="en-US"/>
        </w:rPr>
        <w:t>（六）环境管理及风险防治措施。</w:t>
      </w:r>
    </w:p>
    <w:p w14:paraId="738D21D0">
      <w:pPr>
        <w:keepNext w:val="0"/>
        <w:keepLines w:val="0"/>
        <w:pageBreakBefore w:val="0"/>
        <w:widowControl w:val="0"/>
        <w:kinsoku/>
        <w:wordWrap/>
        <w:overflowPunct/>
        <w:topLinePunct w:val="0"/>
        <w:autoSpaceDE/>
        <w:autoSpaceDN/>
        <w:bidi w:val="0"/>
        <w:adjustRightInd w:val="0"/>
        <w:snapToGrid w:val="0"/>
        <w:spacing w:line="550" w:lineRule="exact"/>
        <w:ind w:firstLine="640" w:firstLineChars="200"/>
        <w:textAlignment w:val="auto"/>
        <w:rPr>
          <w:rFonts w:hint="default" w:ascii="仿宋_GB2312" w:hAnsi="仿宋_GB2312" w:eastAsia="仿宋_GB2312" w:cs="仿宋_GB2312"/>
          <w:bCs/>
          <w:color w:val="000000"/>
          <w:sz w:val="32"/>
          <w:szCs w:val="32"/>
          <w:lang w:eastAsia="zh-CN" w:bidi="en-US"/>
        </w:rPr>
      </w:pPr>
      <w:r>
        <w:rPr>
          <w:rFonts w:hint="default" w:ascii="仿宋_GB2312" w:hAnsi="仿宋_GB2312" w:eastAsia="仿宋_GB2312" w:cs="仿宋_GB2312"/>
          <w:bCs/>
          <w:color w:val="000000"/>
          <w:sz w:val="32"/>
          <w:szCs w:val="32"/>
          <w:lang w:eastAsia="zh-CN" w:bidi="en-US"/>
        </w:rPr>
        <w:t>站场均采用远程监控技术，各工艺区均设有紧急切断系统。运行阶段建立维护保养、定期检测管道壁厚和巡线检查制度，加强安全管理措施，结合工程实际，制定应急预案。</w:t>
      </w:r>
    </w:p>
    <w:p w14:paraId="05E355E3">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textAlignment w:val="auto"/>
        <w:rPr>
          <w:rFonts w:hint="eastAsia" w:ascii="Times New Roman" w:hAnsi="Times New Roman" w:eastAsia="黑体" w:cs="黑体"/>
          <w:b w:val="0"/>
          <w:bCs/>
          <w:color w:val="000000"/>
          <w:kern w:val="2"/>
          <w:sz w:val="32"/>
          <w:szCs w:val="32"/>
          <w:lang w:bidi="en-US"/>
        </w:rPr>
      </w:pPr>
      <w:r>
        <w:rPr>
          <w:rFonts w:hint="eastAsia" w:ascii="Times New Roman" w:hAnsi="Times New Roman" w:eastAsia="黑体" w:cs="黑体"/>
          <w:b w:val="0"/>
          <w:bCs/>
          <w:color w:val="000000"/>
          <w:kern w:val="2"/>
          <w:sz w:val="32"/>
          <w:szCs w:val="32"/>
          <w:lang w:bidi="en-US"/>
        </w:rPr>
        <w:t>三、</w:t>
      </w:r>
      <w:r>
        <w:rPr>
          <w:rFonts w:hint="eastAsia" w:ascii="Times New Roman" w:hAnsi="Times New Roman" w:eastAsia="黑体" w:cs="黑体"/>
          <w:b w:val="0"/>
          <w:bCs/>
          <w:color w:val="000000"/>
          <w:kern w:val="2"/>
          <w:sz w:val="32"/>
          <w:szCs w:val="32"/>
          <w:lang w:val="en-US" w:eastAsia="zh-CN" w:bidi="en-US"/>
        </w:rPr>
        <w:t>相</w:t>
      </w:r>
      <w:r>
        <w:rPr>
          <w:rFonts w:hint="eastAsia" w:ascii="Times New Roman" w:hAnsi="Times New Roman" w:eastAsia="黑体" w:cs="黑体"/>
          <w:b w:val="0"/>
          <w:bCs/>
          <w:color w:val="000000"/>
          <w:kern w:val="2"/>
          <w:sz w:val="32"/>
          <w:szCs w:val="32"/>
          <w:lang w:bidi="en-US"/>
        </w:rPr>
        <w:t>关要求</w:t>
      </w:r>
    </w:p>
    <w:p w14:paraId="25CDB7EA">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eastAsia" w:ascii="仿宋_GB2312" w:hAnsi="仿宋_GB2312" w:eastAsia="仿宋_GB2312" w:cs="仿宋_GB2312"/>
          <w:b w:val="0"/>
          <w:bCs/>
          <w:kern w:val="2"/>
          <w:sz w:val="32"/>
          <w:szCs w:val="32"/>
          <w:lang w:val="en-US" w:eastAsia="zh-CN" w:bidi="en-US"/>
        </w:rPr>
      </w:pPr>
      <w:r>
        <w:rPr>
          <w:rFonts w:hint="eastAsia" w:ascii="仿宋_GB2312" w:hAnsi="仿宋_GB2312" w:eastAsia="仿宋_GB2312" w:cs="仿宋_GB2312"/>
          <w:b w:val="0"/>
          <w:bCs/>
          <w:kern w:val="2"/>
          <w:sz w:val="32"/>
          <w:szCs w:val="32"/>
          <w:lang w:val="en-US" w:eastAsia="zh-CN" w:bidi="en-US"/>
        </w:rPr>
        <w:t>（一）项目建设必须严格执行建设项目环境保护设施与主体工程同时设计、同时施工、同时投入使用的环境保护“三同时”制度，项目竣工投入运行前须按规定办理项目环保竣工验收，验收合格后方可投入生产，并将环保竣工验收材料报生态环境主管部门进行备案。</w:t>
      </w:r>
    </w:p>
    <w:p w14:paraId="5F989A8D">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eastAsia" w:ascii="仿宋_GB2312" w:hAnsi="仿宋_GB2312" w:eastAsia="仿宋_GB2312" w:cs="仿宋_GB2312"/>
          <w:b w:val="0"/>
          <w:bCs/>
          <w:kern w:val="2"/>
          <w:sz w:val="32"/>
          <w:szCs w:val="32"/>
          <w:lang w:val="en-US" w:eastAsia="zh-CN" w:bidi="en-US"/>
        </w:rPr>
      </w:pPr>
      <w:r>
        <w:rPr>
          <w:rFonts w:hint="eastAsia" w:ascii="仿宋_GB2312" w:hAnsi="仿宋_GB2312" w:eastAsia="仿宋_GB2312" w:cs="仿宋_GB2312"/>
          <w:b w:val="0"/>
          <w:bCs/>
          <w:kern w:val="2"/>
          <w:sz w:val="32"/>
          <w:szCs w:val="32"/>
          <w:lang w:val="en-US" w:eastAsia="zh-CN" w:bidi="en-US"/>
        </w:rPr>
        <w:t>（二）本批复仅限于《报告表》确定的工程内容，建设项目的地点、性质、规模、采用的工艺或者防治污染、防止生态破坏的措施等发生重大变动的，建设单位应当重新报批建设项目的环境影响评价文件。《报告表》自批准之日起，如超过5年方决定工程开工建设的，《报告表》应当报我局重新审核。</w:t>
      </w:r>
    </w:p>
    <w:p w14:paraId="459EA225">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eastAsia" w:ascii="仿宋_GB2312" w:hAnsi="仿宋_GB2312" w:eastAsia="仿宋_GB2312" w:cs="仿宋_GB2312"/>
          <w:b w:val="0"/>
          <w:bCs/>
          <w:kern w:val="2"/>
          <w:sz w:val="32"/>
          <w:szCs w:val="32"/>
          <w:lang w:val="en-US" w:eastAsia="zh-CN" w:bidi="en-US"/>
        </w:rPr>
      </w:pPr>
      <w:r>
        <w:rPr>
          <w:rFonts w:hint="eastAsia" w:ascii="仿宋_GB2312" w:hAnsi="仿宋_GB2312" w:eastAsia="仿宋_GB2312" w:cs="仿宋_GB2312"/>
          <w:b w:val="0"/>
          <w:bCs/>
          <w:kern w:val="2"/>
          <w:sz w:val="32"/>
          <w:szCs w:val="32"/>
          <w:lang w:val="en-US" w:eastAsia="zh-CN" w:bidi="en-US"/>
        </w:rPr>
        <w:t>（三）建设项目须依法依规取得相关部门合法手续后，方可开工建设。</w:t>
      </w:r>
    </w:p>
    <w:p w14:paraId="66B39D9A">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eastAsia" w:ascii="仿宋_GB2312" w:hAnsi="仿宋_GB2312" w:eastAsia="仿宋_GB2312" w:cs="仿宋_GB2312"/>
          <w:b w:val="0"/>
          <w:bCs/>
          <w:kern w:val="2"/>
          <w:sz w:val="32"/>
          <w:szCs w:val="32"/>
          <w:lang w:val="en-US" w:eastAsia="zh-CN" w:bidi="en-US"/>
        </w:rPr>
      </w:pPr>
      <w:r>
        <w:rPr>
          <w:rFonts w:hint="eastAsia" w:ascii="仿宋_GB2312" w:hAnsi="仿宋_GB2312" w:eastAsia="仿宋_GB2312" w:cs="仿宋_GB2312"/>
          <w:b w:val="0"/>
          <w:bCs/>
          <w:kern w:val="2"/>
          <w:sz w:val="32"/>
          <w:szCs w:val="32"/>
          <w:lang w:val="en-US" w:eastAsia="zh-CN" w:bidi="en-US"/>
        </w:rPr>
        <w:t>（四）海原县生态环境保护综合执法大队负责该项目环境保护“三同时”监督工作。</w:t>
      </w:r>
    </w:p>
    <w:p w14:paraId="2D90E633">
      <w:pPr>
        <w:keepNext w:val="0"/>
        <w:keepLines w:val="0"/>
        <w:pageBreakBefore w:val="0"/>
        <w:widowControl w:val="0"/>
        <w:kinsoku/>
        <w:wordWrap/>
        <w:overflowPunct/>
        <w:topLinePunct w:val="0"/>
        <w:autoSpaceDE/>
        <w:autoSpaceDN/>
        <w:bidi w:val="0"/>
        <w:adjustRightInd w:val="0"/>
        <w:snapToGrid w:val="0"/>
        <w:spacing w:line="550" w:lineRule="exact"/>
        <w:ind w:left="0" w:leftChars="0" w:right="0" w:rightChars="0" w:firstLine="640" w:firstLineChars="200"/>
        <w:textAlignment w:val="baseline"/>
        <w:rPr>
          <w:rFonts w:hint="eastAsia" w:ascii="仿宋_GB2312" w:hAnsi="仿宋_GB2312" w:eastAsia="仿宋_GB2312" w:cs="仿宋_GB2312"/>
          <w:color w:val="000000"/>
          <w:sz w:val="32"/>
          <w:szCs w:val="32"/>
        </w:rPr>
      </w:pPr>
      <w:r>
        <w:rPr>
          <w:rFonts w:hint="default" w:ascii="Times New Roman" w:hAnsi="Times New Roman" w:eastAsia="仿宋_GB2312" w:cs="Times New Roman"/>
          <w:b w:val="0"/>
          <w:bCs w:val="0"/>
          <w:color w:val="auto"/>
          <w:sz w:val="32"/>
          <w:szCs w:val="32"/>
          <w:lang w:val="en-US" w:eastAsia="zh-CN" w:bidi="en-US"/>
        </w:rPr>
        <w:t>（五）建设单位应建立健全环境管理制度和环保岗位责任制。设立专人负责项目运营期环境管理工作，加强设施的日常维护。</w:t>
      </w:r>
    </w:p>
    <w:p w14:paraId="07A14C57">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eastAsia="仿宋_GB2312"/>
          <w:bCs/>
          <w:color w:val="000000"/>
          <w:sz w:val="32"/>
          <w:szCs w:val="32"/>
          <w:lang w:bidi="en-US"/>
        </w:rPr>
      </w:pPr>
    </w:p>
    <w:p w14:paraId="427272A5">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eastAsia="仿宋_GB2312"/>
          <w:bCs/>
          <w:color w:val="000000"/>
          <w:sz w:val="32"/>
          <w:szCs w:val="32"/>
          <w:lang w:bidi="en-US"/>
        </w:rPr>
      </w:pPr>
    </w:p>
    <w:p w14:paraId="3B4FB950">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eastAsia="仿宋_GB2312"/>
          <w:bCs/>
          <w:color w:val="000000"/>
          <w:sz w:val="32"/>
          <w:szCs w:val="32"/>
          <w:lang w:bidi="en-US"/>
        </w:rPr>
      </w:pPr>
    </w:p>
    <w:p w14:paraId="49641795">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jc w:val="center"/>
        <w:textAlignment w:val="auto"/>
        <w:rPr>
          <w:rFonts w:hint="default" w:ascii="仿宋_GB2312" w:hAnsi="仿宋_GB2312" w:eastAsia="仿宋_GB2312" w:cs="仿宋_GB2312"/>
          <w:bCs/>
          <w:color w:val="000000"/>
          <w:sz w:val="32"/>
          <w:szCs w:val="32"/>
          <w:lang w:val="en-US" w:eastAsia="zh-CN" w:bidi="en-US"/>
        </w:rPr>
      </w:pPr>
      <w:r>
        <w:rPr>
          <w:rFonts w:hint="eastAsia" w:ascii="仿宋_GB2312" w:hAnsi="仿宋_GB2312" w:eastAsia="仿宋_GB2312" w:cs="仿宋_GB2312"/>
          <w:bCs/>
          <w:color w:val="000000"/>
          <w:sz w:val="32"/>
          <w:szCs w:val="32"/>
          <w:lang w:val="en-US" w:eastAsia="zh-CN" w:bidi="en-US"/>
        </w:rPr>
        <w:t xml:space="preserve">                  </w:t>
      </w:r>
      <w:r>
        <w:rPr>
          <w:rFonts w:hint="default" w:ascii="仿宋_GB2312" w:hAnsi="仿宋_GB2312" w:eastAsia="仿宋_GB2312" w:cs="仿宋_GB2312"/>
          <w:bCs/>
          <w:color w:val="000000"/>
          <w:sz w:val="32"/>
          <w:szCs w:val="32"/>
          <w:lang w:bidi="en-US"/>
        </w:rPr>
        <w:t>中卫市生态环境局海原县分局</w:t>
      </w:r>
      <w:r>
        <w:rPr>
          <w:rFonts w:hint="eastAsia" w:ascii="仿宋_GB2312" w:hAnsi="仿宋_GB2312" w:eastAsia="仿宋_GB2312" w:cs="仿宋_GB2312"/>
          <w:bCs/>
          <w:color w:val="000000"/>
          <w:sz w:val="32"/>
          <w:szCs w:val="32"/>
          <w:lang w:val="en-US" w:eastAsia="zh-CN" w:bidi="en-US"/>
        </w:rPr>
        <w:t xml:space="preserve">     </w:t>
      </w:r>
    </w:p>
    <w:p w14:paraId="2A4C5254">
      <w:pPr>
        <w:keepNext w:val="0"/>
        <w:keepLines w:val="0"/>
        <w:pageBreakBefore w:val="0"/>
        <w:widowControl w:val="0"/>
        <w:numPr>
          <w:ilvl w:val="0"/>
          <w:numId w:val="0"/>
        </w:numPr>
        <w:kinsoku/>
        <w:wordWrap w:val="0"/>
        <w:overflowPunct/>
        <w:topLinePunct w:val="0"/>
        <w:autoSpaceDE/>
        <w:autoSpaceDN/>
        <w:bidi w:val="0"/>
        <w:adjustRightInd/>
        <w:snapToGrid/>
        <w:spacing w:line="550" w:lineRule="exact"/>
        <w:ind w:firstLine="640" w:firstLineChars="200"/>
        <w:jc w:val="right"/>
        <w:textAlignment w:val="auto"/>
        <w:rPr>
          <w:rFonts w:hint="default" w:ascii="仿宋_GB2312" w:hAnsi="仿宋_GB2312" w:eastAsia="仿宋_GB2312" w:cs="仿宋_GB2312"/>
          <w:bCs/>
          <w:color w:val="000000"/>
          <w:sz w:val="32"/>
          <w:szCs w:val="32"/>
          <w:lang w:val="en-US" w:eastAsia="zh-CN" w:bidi="en-US"/>
        </w:rPr>
      </w:pPr>
      <w:r>
        <w:rPr>
          <w:rFonts w:hint="eastAsia" w:ascii="仿宋_GB2312" w:hAnsi="仿宋_GB2312" w:eastAsia="仿宋_GB2312" w:cs="仿宋_GB2312"/>
          <w:bCs/>
          <w:color w:val="000000"/>
          <w:sz w:val="32"/>
          <w:szCs w:val="32"/>
          <w:lang w:val="en-US" w:eastAsia="zh-CN" w:bidi="en-US"/>
        </w:rPr>
        <w:t xml:space="preserve">        2025</w:t>
      </w:r>
      <w:r>
        <w:rPr>
          <w:rFonts w:hint="default" w:ascii="仿宋_GB2312" w:hAnsi="仿宋_GB2312" w:eastAsia="仿宋_GB2312" w:cs="仿宋_GB2312"/>
          <w:bCs/>
          <w:color w:val="000000"/>
          <w:sz w:val="32"/>
          <w:szCs w:val="32"/>
          <w:lang w:bidi="en-US"/>
        </w:rPr>
        <w:t>年</w:t>
      </w:r>
      <w:r>
        <w:rPr>
          <w:rFonts w:hint="eastAsia" w:ascii="仿宋_GB2312" w:hAnsi="仿宋_GB2312" w:eastAsia="仿宋_GB2312" w:cs="仿宋_GB2312"/>
          <w:bCs/>
          <w:color w:val="000000"/>
          <w:sz w:val="32"/>
          <w:szCs w:val="32"/>
          <w:lang w:val="en-US" w:eastAsia="zh-CN" w:bidi="en-US"/>
        </w:rPr>
        <w:t>2</w:t>
      </w:r>
      <w:r>
        <w:rPr>
          <w:rFonts w:hint="default" w:ascii="仿宋_GB2312" w:hAnsi="仿宋_GB2312" w:eastAsia="仿宋_GB2312" w:cs="仿宋_GB2312"/>
          <w:bCs/>
          <w:color w:val="000000"/>
          <w:sz w:val="32"/>
          <w:szCs w:val="32"/>
          <w:lang w:bidi="en-US"/>
        </w:rPr>
        <w:t>月</w:t>
      </w:r>
      <w:r>
        <w:rPr>
          <w:rFonts w:hint="eastAsia" w:ascii="仿宋_GB2312" w:hAnsi="仿宋_GB2312" w:eastAsia="仿宋_GB2312" w:cs="仿宋_GB2312"/>
          <w:bCs/>
          <w:color w:val="000000"/>
          <w:sz w:val="32"/>
          <w:szCs w:val="32"/>
          <w:lang w:val="en-US" w:eastAsia="zh-CN" w:bidi="en-US"/>
        </w:rPr>
        <w:t>13</w:t>
      </w:r>
      <w:r>
        <w:rPr>
          <w:rFonts w:hint="default" w:ascii="仿宋_GB2312" w:hAnsi="仿宋_GB2312" w:eastAsia="仿宋_GB2312" w:cs="仿宋_GB2312"/>
          <w:bCs/>
          <w:color w:val="000000"/>
          <w:sz w:val="32"/>
          <w:szCs w:val="32"/>
          <w:lang w:bidi="en-US"/>
        </w:rPr>
        <w:t>日</w:t>
      </w:r>
      <w:r>
        <w:rPr>
          <w:rFonts w:hint="eastAsia" w:ascii="仿宋_GB2312" w:hAnsi="仿宋_GB2312" w:eastAsia="仿宋_GB2312" w:cs="仿宋_GB2312"/>
          <w:bCs/>
          <w:color w:val="000000"/>
          <w:sz w:val="32"/>
          <w:szCs w:val="32"/>
          <w:lang w:val="en-US" w:eastAsia="zh-CN" w:bidi="en-US"/>
        </w:rPr>
        <w:t xml:space="preserve">        </w:t>
      </w:r>
    </w:p>
    <w:p w14:paraId="11172E1F">
      <w:pPr>
        <w:keepNext w:val="0"/>
        <w:keepLines w:val="0"/>
        <w:pageBreakBefore w:val="0"/>
        <w:widowControl w:val="0"/>
        <w:kinsoku/>
        <w:wordWrap w:val="0"/>
        <w:overflowPunct/>
        <w:topLinePunct w:val="0"/>
        <w:autoSpaceDE/>
        <w:autoSpaceDN/>
        <w:bidi w:val="0"/>
        <w:adjustRightInd/>
        <w:snapToGrid/>
        <w:spacing w:line="500" w:lineRule="exact"/>
        <w:ind w:firstLine="640" w:firstLineChars="200"/>
        <w:jc w:val="center"/>
        <w:textAlignment w:val="auto"/>
        <w:rPr>
          <w:rFonts w:eastAsia="仿宋_GB2312"/>
          <w:color w:val="000000"/>
          <w:sz w:val="32"/>
          <w:szCs w:val="32"/>
        </w:rPr>
      </w:pPr>
      <w:bookmarkStart w:id="0" w:name="_GoBack"/>
      <w:bookmarkEnd w:id="0"/>
    </w:p>
    <w:p w14:paraId="5AE07792">
      <w:pPr>
        <w:keepNext w:val="0"/>
        <w:keepLines w:val="0"/>
        <w:pageBreakBefore w:val="0"/>
        <w:widowControl w:val="0"/>
        <w:kinsoku/>
        <w:wordWrap w:val="0"/>
        <w:overflowPunct/>
        <w:topLinePunct w:val="0"/>
        <w:autoSpaceDE/>
        <w:autoSpaceDN/>
        <w:bidi w:val="0"/>
        <w:adjustRightInd/>
        <w:snapToGrid/>
        <w:spacing w:line="500" w:lineRule="exact"/>
        <w:ind w:firstLine="640" w:firstLineChars="200"/>
        <w:jc w:val="center"/>
        <w:textAlignment w:val="auto"/>
        <w:rPr>
          <w:rFonts w:eastAsia="仿宋_GB2312"/>
          <w:color w:val="000000"/>
          <w:sz w:val="32"/>
          <w:szCs w:val="32"/>
        </w:rPr>
      </w:pPr>
    </w:p>
    <w:p w14:paraId="5E5F7BF2">
      <w:pPr>
        <w:tabs>
          <w:tab w:val="left" w:pos="7655"/>
        </w:tabs>
        <w:spacing w:line="520" w:lineRule="exact"/>
        <w:rPr>
          <w:rFonts w:eastAsia="仿宋_GB2312"/>
          <w:color w:val="000000"/>
          <w:kern w:val="0"/>
          <w:sz w:val="32"/>
          <w:szCs w:val="32"/>
        </w:rPr>
      </w:pPr>
      <w:r>
        <w:rPr>
          <w:rFonts w:eastAsia="仿宋_GB2312"/>
          <w:color w:val="000000"/>
          <w:kern w:val="0"/>
          <w:sz w:val="32"/>
          <w:szCs w:val="32"/>
        </w:rPr>
        <mc:AlternateContent>
          <mc:Choice Requires="wps">
            <w:drawing>
              <wp:anchor distT="0" distB="0" distL="114300" distR="114300" simplePos="0" relativeHeight="251660288" behindDoc="0" locked="0" layoutInCell="1" allowOverlap="1">
                <wp:simplePos x="0" y="0"/>
                <wp:positionH relativeFrom="column">
                  <wp:posOffset>-25400</wp:posOffset>
                </wp:positionH>
                <wp:positionV relativeFrom="paragraph">
                  <wp:posOffset>35560</wp:posOffset>
                </wp:positionV>
                <wp:extent cx="5800725" cy="0"/>
                <wp:effectExtent l="0" t="0" r="0" b="0"/>
                <wp:wrapNone/>
                <wp:docPr id="1" name="直线 5"/>
                <wp:cNvGraphicFramePr/>
                <a:graphic xmlns:a="http://schemas.openxmlformats.org/drawingml/2006/main">
                  <a:graphicData uri="http://schemas.microsoft.com/office/word/2010/wordprocessingShape">
                    <wps:wsp>
                      <wps:cNvCnPr/>
                      <wps:spPr>
                        <a:xfrm>
                          <a:off x="0" y="0"/>
                          <a:ext cx="580072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5" o:spid="_x0000_s1026" o:spt="20" style="position:absolute;left:0pt;margin-left:-2pt;margin-top:2.8pt;height:0pt;width:456.75pt;z-index:251660288;mso-width-relative:page;mso-height-relative:page;" filled="f" stroked="t" coordsize="21600,21600" o:gfxdata="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2w2j0&#10;1QAAAAYBAAAPAAAAAAAAAAEAIAAAACIAAABkcnMvZG93bnJldi54bWxQSwECFAAUAAAACACHTuJA&#10;fjh2t+sBAADpAwAADgAAAAAAAAABACAAAAAkAQAAZHJzL2Uyb0RvYy54bWxQSwUGAAAAAAYABgBZ&#10;AQAAgQUAAAAA&#10;">
                <v:fill on="f" focussize="0,0"/>
                <v:stroke color="#000000" joinstyle="round"/>
                <v:imagedata o:title=""/>
                <o:lock v:ext="edit" aspectratio="f"/>
              </v:line>
            </w:pict>
          </mc:Fallback>
        </mc:AlternateContent>
      </w:r>
      <w:r>
        <w:rPr>
          <w:rFonts w:eastAsia="仿宋_GB2312"/>
          <w:color w:val="000000"/>
          <w:kern w:val="0"/>
          <w:sz w:val="32"/>
          <w:szCs w:val="32"/>
        </w:rPr>
        <mc:AlternateContent>
          <mc:Choice Requires="wps">
            <w:drawing>
              <wp:anchor distT="0" distB="0" distL="114300" distR="114300" simplePos="0" relativeHeight="251661312" behindDoc="0" locked="0" layoutInCell="1" allowOverlap="1">
                <wp:simplePos x="0" y="0"/>
                <wp:positionH relativeFrom="column">
                  <wp:posOffset>-20320</wp:posOffset>
                </wp:positionH>
                <wp:positionV relativeFrom="paragraph">
                  <wp:posOffset>332740</wp:posOffset>
                </wp:positionV>
                <wp:extent cx="5800725" cy="0"/>
                <wp:effectExtent l="0" t="0" r="0" b="0"/>
                <wp:wrapNone/>
                <wp:docPr id="2" name="直线 6"/>
                <wp:cNvGraphicFramePr/>
                <a:graphic xmlns:a="http://schemas.openxmlformats.org/drawingml/2006/main">
                  <a:graphicData uri="http://schemas.microsoft.com/office/word/2010/wordprocessingShape">
                    <wps:wsp>
                      <wps:cNvCnPr/>
                      <wps:spPr>
                        <a:xfrm>
                          <a:off x="0" y="0"/>
                          <a:ext cx="580072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 6" o:spid="_x0000_s1026" o:spt="20" style="position:absolute;left:0pt;margin-left:-1.6pt;margin-top:26.2pt;height:0pt;width:456.75pt;z-index:251661312;mso-width-relative:page;mso-height-relative:page;" filled="f" stroked="t" coordsize="21600,21600" o:gfxdata="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2cl1&#10;69YAAAAIAQAADwAAAAAAAAABACAAAAAiAAAAZHJzL2Rvd25yZXYueG1sUEsBAhQAFAAAAAgAh07i&#10;QN34u+DrAQAA6QMAAA4AAAAAAAAAAQAgAAAAJQEAAGRycy9lMm9Eb2MueG1sUEsFBgAAAAAGAAYA&#10;WQEAAIIFAAAAAA==&#10;">
                <v:fill on="f" focussize="0,0"/>
                <v:stroke color="#000000" joinstyle="round"/>
                <v:imagedata o:title=""/>
                <o:lock v:ext="edit" aspectratio="f"/>
              </v:line>
            </w:pict>
          </mc:Fallback>
        </mc:AlternateContent>
      </w:r>
      <w:r>
        <w:rPr>
          <w:rFonts w:eastAsia="仿宋_GB2312"/>
          <w:color w:val="000000"/>
          <w:kern w:val="0"/>
          <w:sz w:val="32"/>
          <w:szCs w:val="32"/>
        </w:rPr>
        <w:t>中卫市生态环境局海原县分局</w:t>
      </w:r>
      <w:r>
        <w:rPr>
          <w:rFonts w:hint="eastAsia" w:eastAsia="仿宋_GB2312"/>
          <w:color w:val="000000"/>
          <w:kern w:val="0"/>
          <w:sz w:val="32"/>
          <w:szCs w:val="32"/>
          <w:lang w:val="en-US" w:eastAsia="zh-CN"/>
        </w:rPr>
        <w:t xml:space="preserve">      </w:t>
      </w:r>
      <w:r>
        <w:rPr>
          <w:rFonts w:eastAsia="仿宋_GB2312"/>
          <w:color w:val="000000"/>
          <w:kern w:val="0"/>
          <w:sz w:val="32"/>
          <w:szCs w:val="32"/>
        </w:rPr>
        <w:t xml:space="preserve">  </w:t>
      </w:r>
      <w:r>
        <w:rPr>
          <w:rFonts w:hint="eastAsia" w:eastAsia="仿宋_GB2312"/>
          <w:color w:val="000000"/>
          <w:kern w:val="0"/>
          <w:sz w:val="32"/>
          <w:szCs w:val="32"/>
          <w:lang w:val="en-US" w:eastAsia="zh-CN"/>
        </w:rPr>
        <w:t>2025</w:t>
      </w:r>
      <w:r>
        <w:rPr>
          <w:rFonts w:eastAsia="仿宋_GB2312"/>
          <w:color w:val="000000"/>
          <w:kern w:val="0"/>
          <w:sz w:val="32"/>
          <w:szCs w:val="32"/>
        </w:rPr>
        <w:t xml:space="preserve">年 </w:t>
      </w:r>
      <w:r>
        <w:rPr>
          <w:rFonts w:hint="eastAsia" w:eastAsia="仿宋_GB2312"/>
          <w:color w:val="000000"/>
          <w:kern w:val="0"/>
          <w:sz w:val="32"/>
          <w:szCs w:val="32"/>
          <w:lang w:val="en-US" w:eastAsia="zh-CN"/>
        </w:rPr>
        <w:t>2</w:t>
      </w:r>
      <w:r>
        <w:rPr>
          <w:rFonts w:eastAsia="仿宋_GB2312"/>
          <w:color w:val="000000"/>
          <w:kern w:val="0"/>
          <w:sz w:val="32"/>
          <w:szCs w:val="32"/>
        </w:rPr>
        <w:t>月</w:t>
      </w:r>
      <w:r>
        <w:rPr>
          <w:rFonts w:hint="eastAsia" w:eastAsia="仿宋_GB2312"/>
          <w:color w:val="000000"/>
          <w:kern w:val="0"/>
          <w:sz w:val="32"/>
          <w:szCs w:val="32"/>
          <w:lang w:val="en-US" w:eastAsia="zh-CN"/>
        </w:rPr>
        <w:t>13</w:t>
      </w:r>
      <w:r>
        <w:rPr>
          <w:rFonts w:eastAsia="仿宋_GB2312"/>
          <w:color w:val="000000"/>
          <w:kern w:val="0"/>
          <w:sz w:val="32"/>
          <w:szCs w:val="32"/>
        </w:rPr>
        <w:t>日印发</w:t>
      </w:r>
    </w:p>
    <w:sectPr>
      <w:footerReference r:id="rId3" w:type="default"/>
      <w:footerReference r:id="rId4" w:type="even"/>
      <w:pgSz w:w="11906" w:h="16838"/>
      <w:pgMar w:top="2098" w:right="1474" w:bottom="1984" w:left="1587" w:header="851" w:footer="992" w:gutter="0"/>
      <w:pgNumType w:fmt="decimal"/>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D9ED998-2847-41D5-B43C-D68D33E5994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embedRegular r:id="rId2" w:fontKey="{768126FC-A298-46D2-9D85-848C0E9DAFC5}"/>
  </w:font>
  <w:font w:name="方正小标宋_GBK">
    <w:panose1 w:val="03000509000000000000"/>
    <w:charset w:val="86"/>
    <w:family w:val="auto"/>
    <w:pitch w:val="default"/>
    <w:sig w:usb0="00000001" w:usb1="080E0000" w:usb2="00000000" w:usb3="00000000" w:csb0="00040000" w:csb1="00000000"/>
    <w:embedRegular r:id="rId3" w:fontKey="{DA21ED0B-AC07-405B-A4DD-D7352E54675D}"/>
  </w:font>
  <w:font w:name="仿宋">
    <w:panose1 w:val="02010609060101010101"/>
    <w:charset w:val="86"/>
    <w:family w:val="auto"/>
    <w:pitch w:val="default"/>
    <w:sig w:usb0="800002BF" w:usb1="38CF7CFA" w:usb2="00000016" w:usb3="00000000" w:csb0="00040001" w:csb1="00000000"/>
    <w:embedRegular r:id="rId4" w:fontKey="{95F9A2E8-1F43-40A2-927F-415226391F91}"/>
  </w:font>
  <w:font w:name="楷体">
    <w:panose1 w:val="02010609060101010101"/>
    <w:charset w:val="86"/>
    <w:family w:val="auto"/>
    <w:pitch w:val="default"/>
    <w:sig w:usb0="800002BF" w:usb1="38CF7CFA" w:usb2="00000016" w:usb3="00000000" w:csb0="00040001" w:csb1="00000000"/>
    <w:embedRegular r:id="rId5" w:fontKey="{43DF0D38-C104-4E0C-ACEF-74E661F888D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CDE4C">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6C143A">
                          <w:pPr>
                            <w:pStyle w:val="1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D6C143A">
                    <w:pPr>
                      <w:pStyle w:val="1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63BB0">
    <w:pPr>
      <w:pStyle w:val="10"/>
      <w:framePr w:wrap="around" w:vAnchor="text" w:hAnchor="margin" w:xAlign="center" w:y="1"/>
      <w:rPr>
        <w:rStyle w:val="15"/>
      </w:rPr>
    </w:pPr>
    <w:r>
      <w:fldChar w:fldCharType="begin"/>
    </w:r>
    <w:r>
      <w:rPr>
        <w:rStyle w:val="15"/>
      </w:rPr>
      <w:instrText xml:space="preserve">PAGE  </w:instrText>
    </w:r>
    <w:r>
      <w:fldChar w:fldCharType="end"/>
    </w:r>
  </w:p>
  <w:p w14:paraId="1924B781">
    <w:pPr>
      <w:pStyle w:val="1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2ZjAzNTI5M2I3YWYxZmY5YzUyYWE5NzkyYjE5MzAifQ=="/>
  </w:docVars>
  <w:rsids>
    <w:rsidRoot w:val="00172A27"/>
    <w:rsid w:val="00002011"/>
    <w:rsid w:val="0000242A"/>
    <w:rsid w:val="000047AE"/>
    <w:rsid w:val="00006DAC"/>
    <w:rsid w:val="000156ED"/>
    <w:rsid w:val="00020B67"/>
    <w:rsid w:val="0002160B"/>
    <w:rsid w:val="00021FC7"/>
    <w:rsid w:val="00024F4F"/>
    <w:rsid w:val="00025CCC"/>
    <w:rsid w:val="00025EB0"/>
    <w:rsid w:val="00026C94"/>
    <w:rsid w:val="00027B1A"/>
    <w:rsid w:val="00031618"/>
    <w:rsid w:val="00033F49"/>
    <w:rsid w:val="0004030C"/>
    <w:rsid w:val="00045C82"/>
    <w:rsid w:val="00052DDF"/>
    <w:rsid w:val="00070189"/>
    <w:rsid w:val="0008405D"/>
    <w:rsid w:val="000846B5"/>
    <w:rsid w:val="00090C85"/>
    <w:rsid w:val="000920D1"/>
    <w:rsid w:val="000A2083"/>
    <w:rsid w:val="000A2FCA"/>
    <w:rsid w:val="000B1F82"/>
    <w:rsid w:val="000B45F2"/>
    <w:rsid w:val="000B7519"/>
    <w:rsid w:val="000C3E04"/>
    <w:rsid w:val="000C5095"/>
    <w:rsid w:val="000D4D9A"/>
    <w:rsid w:val="000D6052"/>
    <w:rsid w:val="000D769C"/>
    <w:rsid w:val="000E225F"/>
    <w:rsid w:val="000E407E"/>
    <w:rsid w:val="000F4B9E"/>
    <w:rsid w:val="000F75D5"/>
    <w:rsid w:val="00105226"/>
    <w:rsid w:val="00112C23"/>
    <w:rsid w:val="00112D30"/>
    <w:rsid w:val="00123803"/>
    <w:rsid w:val="001270D1"/>
    <w:rsid w:val="0013258C"/>
    <w:rsid w:val="00133987"/>
    <w:rsid w:val="001351C1"/>
    <w:rsid w:val="001436C3"/>
    <w:rsid w:val="00153B54"/>
    <w:rsid w:val="00153D95"/>
    <w:rsid w:val="0015679D"/>
    <w:rsid w:val="00163E32"/>
    <w:rsid w:val="00164B66"/>
    <w:rsid w:val="001725EE"/>
    <w:rsid w:val="00172A27"/>
    <w:rsid w:val="00174F93"/>
    <w:rsid w:val="00176553"/>
    <w:rsid w:val="00176C41"/>
    <w:rsid w:val="00176FDF"/>
    <w:rsid w:val="00180343"/>
    <w:rsid w:val="001842B0"/>
    <w:rsid w:val="001920EB"/>
    <w:rsid w:val="0019597B"/>
    <w:rsid w:val="00197470"/>
    <w:rsid w:val="001A1F77"/>
    <w:rsid w:val="001A2D40"/>
    <w:rsid w:val="001A6A74"/>
    <w:rsid w:val="001A6ACD"/>
    <w:rsid w:val="001C0040"/>
    <w:rsid w:val="001C064C"/>
    <w:rsid w:val="001C21A0"/>
    <w:rsid w:val="001C43C2"/>
    <w:rsid w:val="001C54C3"/>
    <w:rsid w:val="001E2837"/>
    <w:rsid w:val="001F15A3"/>
    <w:rsid w:val="001F18D4"/>
    <w:rsid w:val="001F2672"/>
    <w:rsid w:val="001F2958"/>
    <w:rsid w:val="001F5242"/>
    <w:rsid w:val="001F5C12"/>
    <w:rsid w:val="001F5D47"/>
    <w:rsid w:val="00201EC0"/>
    <w:rsid w:val="00203212"/>
    <w:rsid w:val="0020515C"/>
    <w:rsid w:val="00206AE0"/>
    <w:rsid w:val="0020753B"/>
    <w:rsid w:val="00214E1F"/>
    <w:rsid w:val="00215993"/>
    <w:rsid w:val="00216152"/>
    <w:rsid w:val="00217B36"/>
    <w:rsid w:val="0022124E"/>
    <w:rsid w:val="0022274C"/>
    <w:rsid w:val="00222A92"/>
    <w:rsid w:val="002244C0"/>
    <w:rsid w:val="00224DFE"/>
    <w:rsid w:val="00231F47"/>
    <w:rsid w:val="00235DDA"/>
    <w:rsid w:val="00236A7B"/>
    <w:rsid w:val="00246FC9"/>
    <w:rsid w:val="00252C44"/>
    <w:rsid w:val="0025730C"/>
    <w:rsid w:val="002627BD"/>
    <w:rsid w:val="00285939"/>
    <w:rsid w:val="00287BE9"/>
    <w:rsid w:val="0029041D"/>
    <w:rsid w:val="00294884"/>
    <w:rsid w:val="002977E2"/>
    <w:rsid w:val="002A0ADD"/>
    <w:rsid w:val="002A62D6"/>
    <w:rsid w:val="002B05BD"/>
    <w:rsid w:val="002B0840"/>
    <w:rsid w:val="002B3EC1"/>
    <w:rsid w:val="002B5ECA"/>
    <w:rsid w:val="002C2267"/>
    <w:rsid w:val="002C3A39"/>
    <w:rsid w:val="002D3324"/>
    <w:rsid w:val="002E0ABE"/>
    <w:rsid w:val="002F4B81"/>
    <w:rsid w:val="002F71FC"/>
    <w:rsid w:val="003120DA"/>
    <w:rsid w:val="00313187"/>
    <w:rsid w:val="003139A5"/>
    <w:rsid w:val="00333E46"/>
    <w:rsid w:val="0033609E"/>
    <w:rsid w:val="0034078D"/>
    <w:rsid w:val="00340A18"/>
    <w:rsid w:val="00350144"/>
    <w:rsid w:val="00350E77"/>
    <w:rsid w:val="003538C6"/>
    <w:rsid w:val="00354251"/>
    <w:rsid w:val="00356100"/>
    <w:rsid w:val="0036095B"/>
    <w:rsid w:val="00361539"/>
    <w:rsid w:val="00364BDB"/>
    <w:rsid w:val="00364DEA"/>
    <w:rsid w:val="00367938"/>
    <w:rsid w:val="00372262"/>
    <w:rsid w:val="00377895"/>
    <w:rsid w:val="00380920"/>
    <w:rsid w:val="00382830"/>
    <w:rsid w:val="0038482D"/>
    <w:rsid w:val="00387A48"/>
    <w:rsid w:val="00393B6B"/>
    <w:rsid w:val="00394E99"/>
    <w:rsid w:val="003966D4"/>
    <w:rsid w:val="003B1275"/>
    <w:rsid w:val="003B4280"/>
    <w:rsid w:val="003B6756"/>
    <w:rsid w:val="003B7AE7"/>
    <w:rsid w:val="003C01E9"/>
    <w:rsid w:val="003C23B9"/>
    <w:rsid w:val="003C515F"/>
    <w:rsid w:val="003E559F"/>
    <w:rsid w:val="003E590A"/>
    <w:rsid w:val="003E638F"/>
    <w:rsid w:val="003F1FC3"/>
    <w:rsid w:val="003F2E06"/>
    <w:rsid w:val="003F4DF5"/>
    <w:rsid w:val="0040092F"/>
    <w:rsid w:val="004055FB"/>
    <w:rsid w:val="00406868"/>
    <w:rsid w:val="00407F58"/>
    <w:rsid w:val="00410F5B"/>
    <w:rsid w:val="004147E4"/>
    <w:rsid w:val="004155E4"/>
    <w:rsid w:val="00420307"/>
    <w:rsid w:val="004211D3"/>
    <w:rsid w:val="00422C01"/>
    <w:rsid w:val="00423EBF"/>
    <w:rsid w:val="00425249"/>
    <w:rsid w:val="0042632A"/>
    <w:rsid w:val="004274C7"/>
    <w:rsid w:val="004300D2"/>
    <w:rsid w:val="004338A7"/>
    <w:rsid w:val="00443CF4"/>
    <w:rsid w:val="00443D94"/>
    <w:rsid w:val="004460AE"/>
    <w:rsid w:val="00447943"/>
    <w:rsid w:val="00452A0D"/>
    <w:rsid w:val="00476854"/>
    <w:rsid w:val="00477EE3"/>
    <w:rsid w:val="004828DA"/>
    <w:rsid w:val="004864CD"/>
    <w:rsid w:val="00486EDB"/>
    <w:rsid w:val="004931D5"/>
    <w:rsid w:val="00494145"/>
    <w:rsid w:val="00497880"/>
    <w:rsid w:val="004A7D31"/>
    <w:rsid w:val="004B2486"/>
    <w:rsid w:val="004C3A16"/>
    <w:rsid w:val="004C4E3C"/>
    <w:rsid w:val="004C5432"/>
    <w:rsid w:val="004C712C"/>
    <w:rsid w:val="004D0DBB"/>
    <w:rsid w:val="004E20D2"/>
    <w:rsid w:val="004E4718"/>
    <w:rsid w:val="004E5805"/>
    <w:rsid w:val="004F2DC8"/>
    <w:rsid w:val="004F4A7F"/>
    <w:rsid w:val="004F664F"/>
    <w:rsid w:val="004F678A"/>
    <w:rsid w:val="004F7A41"/>
    <w:rsid w:val="00503CC7"/>
    <w:rsid w:val="00511902"/>
    <w:rsid w:val="0051431C"/>
    <w:rsid w:val="00517B57"/>
    <w:rsid w:val="005238EF"/>
    <w:rsid w:val="00534275"/>
    <w:rsid w:val="0053518F"/>
    <w:rsid w:val="005364CD"/>
    <w:rsid w:val="00542547"/>
    <w:rsid w:val="00543833"/>
    <w:rsid w:val="005462F3"/>
    <w:rsid w:val="00555452"/>
    <w:rsid w:val="005561E6"/>
    <w:rsid w:val="00557F82"/>
    <w:rsid w:val="00567CB9"/>
    <w:rsid w:val="005805DD"/>
    <w:rsid w:val="00582595"/>
    <w:rsid w:val="00587F9C"/>
    <w:rsid w:val="0059677E"/>
    <w:rsid w:val="005A0AC7"/>
    <w:rsid w:val="005B00DD"/>
    <w:rsid w:val="005B0C03"/>
    <w:rsid w:val="005B352B"/>
    <w:rsid w:val="005B5929"/>
    <w:rsid w:val="005C0947"/>
    <w:rsid w:val="005C4F01"/>
    <w:rsid w:val="005D01D1"/>
    <w:rsid w:val="005D07DF"/>
    <w:rsid w:val="005D444A"/>
    <w:rsid w:val="005D6657"/>
    <w:rsid w:val="005E169C"/>
    <w:rsid w:val="005E1D37"/>
    <w:rsid w:val="005E6FA6"/>
    <w:rsid w:val="005F02F1"/>
    <w:rsid w:val="005F1B8B"/>
    <w:rsid w:val="005F578C"/>
    <w:rsid w:val="006045CB"/>
    <w:rsid w:val="0061576C"/>
    <w:rsid w:val="00633647"/>
    <w:rsid w:val="00634CE3"/>
    <w:rsid w:val="00634EFC"/>
    <w:rsid w:val="0064596E"/>
    <w:rsid w:val="006624A9"/>
    <w:rsid w:val="00662EB1"/>
    <w:rsid w:val="0067260B"/>
    <w:rsid w:val="006734E3"/>
    <w:rsid w:val="00686C8E"/>
    <w:rsid w:val="006911F9"/>
    <w:rsid w:val="0069232E"/>
    <w:rsid w:val="006972AF"/>
    <w:rsid w:val="006976D8"/>
    <w:rsid w:val="006A391E"/>
    <w:rsid w:val="006A3BB8"/>
    <w:rsid w:val="006B341F"/>
    <w:rsid w:val="006B6F51"/>
    <w:rsid w:val="006D4E25"/>
    <w:rsid w:val="006E5F78"/>
    <w:rsid w:val="006F68C9"/>
    <w:rsid w:val="007039C6"/>
    <w:rsid w:val="00704063"/>
    <w:rsid w:val="007048EE"/>
    <w:rsid w:val="00717692"/>
    <w:rsid w:val="007211C2"/>
    <w:rsid w:val="007240CA"/>
    <w:rsid w:val="007600E4"/>
    <w:rsid w:val="007617C1"/>
    <w:rsid w:val="00762207"/>
    <w:rsid w:val="007638D9"/>
    <w:rsid w:val="00774C71"/>
    <w:rsid w:val="007766D7"/>
    <w:rsid w:val="00783468"/>
    <w:rsid w:val="00796386"/>
    <w:rsid w:val="007A1EB0"/>
    <w:rsid w:val="007A27FF"/>
    <w:rsid w:val="007A3CAF"/>
    <w:rsid w:val="007A401A"/>
    <w:rsid w:val="007B0BE9"/>
    <w:rsid w:val="007B61F2"/>
    <w:rsid w:val="007D1520"/>
    <w:rsid w:val="007D2451"/>
    <w:rsid w:val="007E3B19"/>
    <w:rsid w:val="007F0E01"/>
    <w:rsid w:val="007F2C23"/>
    <w:rsid w:val="00800F86"/>
    <w:rsid w:val="008010F2"/>
    <w:rsid w:val="00813003"/>
    <w:rsid w:val="00813FC0"/>
    <w:rsid w:val="00814081"/>
    <w:rsid w:val="008155BB"/>
    <w:rsid w:val="008223E3"/>
    <w:rsid w:val="00824B56"/>
    <w:rsid w:val="00840249"/>
    <w:rsid w:val="00841152"/>
    <w:rsid w:val="00841646"/>
    <w:rsid w:val="00841A8B"/>
    <w:rsid w:val="00847FB8"/>
    <w:rsid w:val="008519B7"/>
    <w:rsid w:val="00852BE2"/>
    <w:rsid w:val="00857330"/>
    <w:rsid w:val="00865C85"/>
    <w:rsid w:val="00873427"/>
    <w:rsid w:val="00881278"/>
    <w:rsid w:val="00882CB7"/>
    <w:rsid w:val="0089421E"/>
    <w:rsid w:val="008A3374"/>
    <w:rsid w:val="008A7814"/>
    <w:rsid w:val="008C3A9D"/>
    <w:rsid w:val="008E0D6F"/>
    <w:rsid w:val="008F4F2F"/>
    <w:rsid w:val="008F6649"/>
    <w:rsid w:val="00902961"/>
    <w:rsid w:val="00903337"/>
    <w:rsid w:val="00905B33"/>
    <w:rsid w:val="009242FB"/>
    <w:rsid w:val="00926BC8"/>
    <w:rsid w:val="00942190"/>
    <w:rsid w:val="009462C9"/>
    <w:rsid w:val="00946986"/>
    <w:rsid w:val="00951D1C"/>
    <w:rsid w:val="00952D68"/>
    <w:rsid w:val="00953966"/>
    <w:rsid w:val="00963A8F"/>
    <w:rsid w:val="009648D2"/>
    <w:rsid w:val="0098550A"/>
    <w:rsid w:val="00986018"/>
    <w:rsid w:val="00992972"/>
    <w:rsid w:val="0099327A"/>
    <w:rsid w:val="00997628"/>
    <w:rsid w:val="009A5637"/>
    <w:rsid w:val="009A72A9"/>
    <w:rsid w:val="009B1FC7"/>
    <w:rsid w:val="009B752C"/>
    <w:rsid w:val="009C24A4"/>
    <w:rsid w:val="009C24D3"/>
    <w:rsid w:val="009C564C"/>
    <w:rsid w:val="009C60BC"/>
    <w:rsid w:val="009C7803"/>
    <w:rsid w:val="009D2AA3"/>
    <w:rsid w:val="009D48AB"/>
    <w:rsid w:val="009D5B88"/>
    <w:rsid w:val="009E0763"/>
    <w:rsid w:val="009E33B9"/>
    <w:rsid w:val="00A0098B"/>
    <w:rsid w:val="00A05CC4"/>
    <w:rsid w:val="00A076E8"/>
    <w:rsid w:val="00A07D3D"/>
    <w:rsid w:val="00A12FEA"/>
    <w:rsid w:val="00A15BC2"/>
    <w:rsid w:val="00A174F9"/>
    <w:rsid w:val="00A2018F"/>
    <w:rsid w:val="00A22B29"/>
    <w:rsid w:val="00A3128C"/>
    <w:rsid w:val="00A31D2D"/>
    <w:rsid w:val="00A34262"/>
    <w:rsid w:val="00A345E2"/>
    <w:rsid w:val="00A36975"/>
    <w:rsid w:val="00A400BB"/>
    <w:rsid w:val="00A54293"/>
    <w:rsid w:val="00A56FD4"/>
    <w:rsid w:val="00A57F1C"/>
    <w:rsid w:val="00A6237B"/>
    <w:rsid w:val="00A6345A"/>
    <w:rsid w:val="00A6433A"/>
    <w:rsid w:val="00A71771"/>
    <w:rsid w:val="00A770BD"/>
    <w:rsid w:val="00A803B0"/>
    <w:rsid w:val="00A827B9"/>
    <w:rsid w:val="00A86749"/>
    <w:rsid w:val="00A9257A"/>
    <w:rsid w:val="00A95080"/>
    <w:rsid w:val="00A96EA8"/>
    <w:rsid w:val="00AA3C29"/>
    <w:rsid w:val="00AA7F91"/>
    <w:rsid w:val="00AB0F84"/>
    <w:rsid w:val="00AB716E"/>
    <w:rsid w:val="00AC244E"/>
    <w:rsid w:val="00AC2776"/>
    <w:rsid w:val="00AC46A2"/>
    <w:rsid w:val="00AC6973"/>
    <w:rsid w:val="00AD65D7"/>
    <w:rsid w:val="00AE2C9B"/>
    <w:rsid w:val="00AE6BBF"/>
    <w:rsid w:val="00B0018B"/>
    <w:rsid w:val="00B072DF"/>
    <w:rsid w:val="00B100DE"/>
    <w:rsid w:val="00B10457"/>
    <w:rsid w:val="00B10893"/>
    <w:rsid w:val="00B1273C"/>
    <w:rsid w:val="00B1379E"/>
    <w:rsid w:val="00B137AC"/>
    <w:rsid w:val="00B17B7E"/>
    <w:rsid w:val="00B274DF"/>
    <w:rsid w:val="00B27CDB"/>
    <w:rsid w:val="00B37109"/>
    <w:rsid w:val="00B425B7"/>
    <w:rsid w:val="00B42C0C"/>
    <w:rsid w:val="00B44D9F"/>
    <w:rsid w:val="00B45D85"/>
    <w:rsid w:val="00B46E84"/>
    <w:rsid w:val="00B511A9"/>
    <w:rsid w:val="00B617AD"/>
    <w:rsid w:val="00B619E7"/>
    <w:rsid w:val="00B63E14"/>
    <w:rsid w:val="00B73C71"/>
    <w:rsid w:val="00B75979"/>
    <w:rsid w:val="00B775C9"/>
    <w:rsid w:val="00B814FE"/>
    <w:rsid w:val="00B829BB"/>
    <w:rsid w:val="00B83D79"/>
    <w:rsid w:val="00B84E9E"/>
    <w:rsid w:val="00B91998"/>
    <w:rsid w:val="00B9473C"/>
    <w:rsid w:val="00BA095A"/>
    <w:rsid w:val="00BA55A6"/>
    <w:rsid w:val="00BB7C81"/>
    <w:rsid w:val="00BC1451"/>
    <w:rsid w:val="00BD1E7A"/>
    <w:rsid w:val="00BD1EEA"/>
    <w:rsid w:val="00BD31C3"/>
    <w:rsid w:val="00BE0849"/>
    <w:rsid w:val="00BE6E5C"/>
    <w:rsid w:val="00C10D26"/>
    <w:rsid w:val="00C10EE6"/>
    <w:rsid w:val="00C134C6"/>
    <w:rsid w:val="00C14F60"/>
    <w:rsid w:val="00C159E0"/>
    <w:rsid w:val="00C16C1E"/>
    <w:rsid w:val="00C22CAA"/>
    <w:rsid w:val="00C22DAF"/>
    <w:rsid w:val="00C236E0"/>
    <w:rsid w:val="00C43686"/>
    <w:rsid w:val="00C46140"/>
    <w:rsid w:val="00C62002"/>
    <w:rsid w:val="00C6717E"/>
    <w:rsid w:val="00C733DD"/>
    <w:rsid w:val="00C77353"/>
    <w:rsid w:val="00C87D73"/>
    <w:rsid w:val="00C935F3"/>
    <w:rsid w:val="00C95A13"/>
    <w:rsid w:val="00CA284D"/>
    <w:rsid w:val="00CB0494"/>
    <w:rsid w:val="00CB1635"/>
    <w:rsid w:val="00CB3135"/>
    <w:rsid w:val="00CC0586"/>
    <w:rsid w:val="00CC1436"/>
    <w:rsid w:val="00CC7A06"/>
    <w:rsid w:val="00CD011A"/>
    <w:rsid w:val="00CD6735"/>
    <w:rsid w:val="00CF1C4E"/>
    <w:rsid w:val="00CF49D5"/>
    <w:rsid w:val="00D062CD"/>
    <w:rsid w:val="00D10410"/>
    <w:rsid w:val="00D10634"/>
    <w:rsid w:val="00D111E8"/>
    <w:rsid w:val="00D115C5"/>
    <w:rsid w:val="00D15047"/>
    <w:rsid w:val="00D25322"/>
    <w:rsid w:val="00D26DE5"/>
    <w:rsid w:val="00D3126A"/>
    <w:rsid w:val="00D414F3"/>
    <w:rsid w:val="00D44596"/>
    <w:rsid w:val="00D44F93"/>
    <w:rsid w:val="00D46FE8"/>
    <w:rsid w:val="00D47DD0"/>
    <w:rsid w:val="00D509DE"/>
    <w:rsid w:val="00D52CE1"/>
    <w:rsid w:val="00D5388C"/>
    <w:rsid w:val="00D53A10"/>
    <w:rsid w:val="00D5616F"/>
    <w:rsid w:val="00D56AA4"/>
    <w:rsid w:val="00D73A01"/>
    <w:rsid w:val="00D808FE"/>
    <w:rsid w:val="00D8387F"/>
    <w:rsid w:val="00D91426"/>
    <w:rsid w:val="00D945A6"/>
    <w:rsid w:val="00D94C3B"/>
    <w:rsid w:val="00D97212"/>
    <w:rsid w:val="00DA0F1A"/>
    <w:rsid w:val="00DA346D"/>
    <w:rsid w:val="00DA78A2"/>
    <w:rsid w:val="00DB69D3"/>
    <w:rsid w:val="00DC2DC3"/>
    <w:rsid w:val="00DF0A9D"/>
    <w:rsid w:val="00E032D6"/>
    <w:rsid w:val="00E06828"/>
    <w:rsid w:val="00E11090"/>
    <w:rsid w:val="00E14676"/>
    <w:rsid w:val="00E1516D"/>
    <w:rsid w:val="00E20453"/>
    <w:rsid w:val="00E216CC"/>
    <w:rsid w:val="00E24403"/>
    <w:rsid w:val="00E24C22"/>
    <w:rsid w:val="00E373F9"/>
    <w:rsid w:val="00E4173C"/>
    <w:rsid w:val="00E42DEB"/>
    <w:rsid w:val="00E439DF"/>
    <w:rsid w:val="00E43CD1"/>
    <w:rsid w:val="00E4777B"/>
    <w:rsid w:val="00E50682"/>
    <w:rsid w:val="00E51A21"/>
    <w:rsid w:val="00E555DE"/>
    <w:rsid w:val="00E5585C"/>
    <w:rsid w:val="00E56E3A"/>
    <w:rsid w:val="00E63D08"/>
    <w:rsid w:val="00E63D11"/>
    <w:rsid w:val="00E72E09"/>
    <w:rsid w:val="00E763D8"/>
    <w:rsid w:val="00E81B0F"/>
    <w:rsid w:val="00E8719C"/>
    <w:rsid w:val="00E87359"/>
    <w:rsid w:val="00E93F21"/>
    <w:rsid w:val="00E950C1"/>
    <w:rsid w:val="00EA2BFB"/>
    <w:rsid w:val="00EA31F6"/>
    <w:rsid w:val="00EA39D5"/>
    <w:rsid w:val="00EA625F"/>
    <w:rsid w:val="00EB12A2"/>
    <w:rsid w:val="00EB1A43"/>
    <w:rsid w:val="00EB2903"/>
    <w:rsid w:val="00EB3BEF"/>
    <w:rsid w:val="00EC1034"/>
    <w:rsid w:val="00EC59D3"/>
    <w:rsid w:val="00ED238F"/>
    <w:rsid w:val="00ED2C8B"/>
    <w:rsid w:val="00ED6B2C"/>
    <w:rsid w:val="00EF00C2"/>
    <w:rsid w:val="00EF0B11"/>
    <w:rsid w:val="00EF4BEA"/>
    <w:rsid w:val="00EF596C"/>
    <w:rsid w:val="00F00419"/>
    <w:rsid w:val="00F0125A"/>
    <w:rsid w:val="00F046AD"/>
    <w:rsid w:val="00F05703"/>
    <w:rsid w:val="00F11672"/>
    <w:rsid w:val="00F146BC"/>
    <w:rsid w:val="00F206E5"/>
    <w:rsid w:val="00F26FB1"/>
    <w:rsid w:val="00F30179"/>
    <w:rsid w:val="00F33642"/>
    <w:rsid w:val="00F357C7"/>
    <w:rsid w:val="00F42695"/>
    <w:rsid w:val="00F42B2C"/>
    <w:rsid w:val="00F43C41"/>
    <w:rsid w:val="00F45BF4"/>
    <w:rsid w:val="00F5102D"/>
    <w:rsid w:val="00F563F9"/>
    <w:rsid w:val="00F60490"/>
    <w:rsid w:val="00F72778"/>
    <w:rsid w:val="00F80B72"/>
    <w:rsid w:val="00F84334"/>
    <w:rsid w:val="00F861E9"/>
    <w:rsid w:val="00F92307"/>
    <w:rsid w:val="00F93EC5"/>
    <w:rsid w:val="00FA1383"/>
    <w:rsid w:val="00FA24DC"/>
    <w:rsid w:val="00FA2F33"/>
    <w:rsid w:val="00FB397C"/>
    <w:rsid w:val="00FB6992"/>
    <w:rsid w:val="00FC02B1"/>
    <w:rsid w:val="00FD02BB"/>
    <w:rsid w:val="00FD16A7"/>
    <w:rsid w:val="00FD34DB"/>
    <w:rsid w:val="00FD675E"/>
    <w:rsid w:val="00FD6872"/>
    <w:rsid w:val="00FE2847"/>
    <w:rsid w:val="00FF5DF0"/>
    <w:rsid w:val="010351AA"/>
    <w:rsid w:val="01DF5C17"/>
    <w:rsid w:val="0200793B"/>
    <w:rsid w:val="03802AE2"/>
    <w:rsid w:val="043833BC"/>
    <w:rsid w:val="054D0968"/>
    <w:rsid w:val="05BE4BD6"/>
    <w:rsid w:val="06F832D7"/>
    <w:rsid w:val="076F17EB"/>
    <w:rsid w:val="079A13DE"/>
    <w:rsid w:val="080D2DB2"/>
    <w:rsid w:val="0B5A11F0"/>
    <w:rsid w:val="0C1A36AD"/>
    <w:rsid w:val="0D18022F"/>
    <w:rsid w:val="0D6E7E4F"/>
    <w:rsid w:val="0FD146C5"/>
    <w:rsid w:val="10806817"/>
    <w:rsid w:val="10E02E12"/>
    <w:rsid w:val="10EC7A09"/>
    <w:rsid w:val="10F468BD"/>
    <w:rsid w:val="1122342A"/>
    <w:rsid w:val="11252F1A"/>
    <w:rsid w:val="114E06C3"/>
    <w:rsid w:val="123C051C"/>
    <w:rsid w:val="125F245C"/>
    <w:rsid w:val="13280AA0"/>
    <w:rsid w:val="14005579"/>
    <w:rsid w:val="14F0383F"/>
    <w:rsid w:val="15E45152"/>
    <w:rsid w:val="1653052A"/>
    <w:rsid w:val="176522C3"/>
    <w:rsid w:val="17CD2A1F"/>
    <w:rsid w:val="17F83137"/>
    <w:rsid w:val="181D12FD"/>
    <w:rsid w:val="197113F3"/>
    <w:rsid w:val="1ADF238C"/>
    <w:rsid w:val="1B183110"/>
    <w:rsid w:val="1B4D5548"/>
    <w:rsid w:val="1C91456E"/>
    <w:rsid w:val="1CEC2B3E"/>
    <w:rsid w:val="1D7E25FD"/>
    <w:rsid w:val="1EE7180F"/>
    <w:rsid w:val="1FDF0FA7"/>
    <w:rsid w:val="20A35C0A"/>
    <w:rsid w:val="221B2D22"/>
    <w:rsid w:val="23711416"/>
    <w:rsid w:val="25341526"/>
    <w:rsid w:val="25657932"/>
    <w:rsid w:val="26E74AA2"/>
    <w:rsid w:val="27667AC1"/>
    <w:rsid w:val="27B14458"/>
    <w:rsid w:val="296323DA"/>
    <w:rsid w:val="29A46C7B"/>
    <w:rsid w:val="29CB06AB"/>
    <w:rsid w:val="29FD6EA9"/>
    <w:rsid w:val="2BD66E93"/>
    <w:rsid w:val="2C3F0EDD"/>
    <w:rsid w:val="2C8D1C48"/>
    <w:rsid w:val="2DC25921"/>
    <w:rsid w:val="2EA9088F"/>
    <w:rsid w:val="2F202F8D"/>
    <w:rsid w:val="2F326AD7"/>
    <w:rsid w:val="2F603644"/>
    <w:rsid w:val="2FCD67FF"/>
    <w:rsid w:val="2FEA5603"/>
    <w:rsid w:val="30482297"/>
    <w:rsid w:val="30A621D3"/>
    <w:rsid w:val="327B38E6"/>
    <w:rsid w:val="33380434"/>
    <w:rsid w:val="335F3C12"/>
    <w:rsid w:val="34FA62E8"/>
    <w:rsid w:val="35571045"/>
    <w:rsid w:val="3592207D"/>
    <w:rsid w:val="371F2036"/>
    <w:rsid w:val="37971BCD"/>
    <w:rsid w:val="37D20E57"/>
    <w:rsid w:val="39697599"/>
    <w:rsid w:val="39BA1BA2"/>
    <w:rsid w:val="3A3000B7"/>
    <w:rsid w:val="3A414072"/>
    <w:rsid w:val="3AAF547F"/>
    <w:rsid w:val="3B365BA1"/>
    <w:rsid w:val="3CA37266"/>
    <w:rsid w:val="3DD82F3F"/>
    <w:rsid w:val="3E304B29"/>
    <w:rsid w:val="3F5FBF8F"/>
    <w:rsid w:val="3FF92728"/>
    <w:rsid w:val="428D0AC8"/>
    <w:rsid w:val="43E51F12"/>
    <w:rsid w:val="45576E3F"/>
    <w:rsid w:val="456450B8"/>
    <w:rsid w:val="45DB3CED"/>
    <w:rsid w:val="46965745"/>
    <w:rsid w:val="46BFB6A0"/>
    <w:rsid w:val="46E2739B"/>
    <w:rsid w:val="46FA2178"/>
    <w:rsid w:val="474C0B2C"/>
    <w:rsid w:val="480908C5"/>
    <w:rsid w:val="489B7043"/>
    <w:rsid w:val="48A73C3A"/>
    <w:rsid w:val="48D04F3E"/>
    <w:rsid w:val="4A4A6F73"/>
    <w:rsid w:val="4ACF1226"/>
    <w:rsid w:val="4AF15640"/>
    <w:rsid w:val="4C5B5467"/>
    <w:rsid w:val="4D7B5DB6"/>
    <w:rsid w:val="4F0022F6"/>
    <w:rsid w:val="4FB501AA"/>
    <w:rsid w:val="506D7517"/>
    <w:rsid w:val="51AF024A"/>
    <w:rsid w:val="524424F9"/>
    <w:rsid w:val="52C5363A"/>
    <w:rsid w:val="54EC3B7D"/>
    <w:rsid w:val="55807CEC"/>
    <w:rsid w:val="57917F8F"/>
    <w:rsid w:val="57E36310"/>
    <w:rsid w:val="593B28A8"/>
    <w:rsid w:val="59E83C68"/>
    <w:rsid w:val="5A44753A"/>
    <w:rsid w:val="5A5F4374"/>
    <w:rsid w:val="5B240188"/>
    <w:rsid w:val="5B394BC5"/>
    <w:rsid w:val="5BF1724E"/>
    <w:rsid w:val="5CA65F44"/>
    <w:rsid w:val="5CBC5AAE"/>
    <w:rsid w:val="5CC801F0"/>
    <w:rsid w:val="5CDA5F34"/>
    <w:rsid w:val="5CDD3E6A"/>
    <w:rsid w:val="5D7EA429"/>
    <w:rsid w:val="5D7F6ADB"/>
    <w:rsid w:val="5E08087F"/>
    <w:rsid w:val="5E1B4A56"/>
    <w:rsid w:val="5E7F13A8"/>
    <w:rsid w:val="5F092B01"/>
    <w:rsid w:val="5F427DC1"/>
    <w:rsid w:val="5F697A43"/>
    <w:rsid w:val="603E3C78"/>
    <w:rsid w:val="60600E46"/>
    <w:rsid w:val="619C5EAE"/>
    <w:rsid w:val="61D77DCA"/>
    <w:rsid w:val="62544136"/>
    <w:rsid w:val="629B704A"/>
    <w:rsid w:val="6448700C"/>
    <w:rsid w:val="645E1D6E"/>
    <w:rsid w:val="64A137DB"/>
    <w:rsid w:val="65562945"/>
    <w:rsid w:val="657D5FF6"/>
    <w:rsid w:val="65CC3BBF"/>
    <w:rsid w:val="672D06BC"/>
    <w:rsid w:val="67314205"/>
    <w:rsid w:val="69FA7C16"/>
    <w:rsid w:val="6C6C7008"/>
    <w:rsid w:val="6D54763D"/>
    <w:rsid w:val="6D68758C"/>
    <w:rsid w:val="6DE74955"/>
    <w:rsid w:val="6FD131C7"/>
    <w:rsid w:val="704A2F79"/>
    <w:rsid w:val="70F626E9"/>
    <w:rsid w:val="728704B4"/>
    <w:rsid w:val="73133AF6"/>
    <w:rsid w:val="737547B1"/>
    <w:rsid w:val="750B1BE6"/>
    <w:rsid w:val="758F1B5A"/>
    <w:rsid w:val="75D7705D"/>
    <w:rsid w:val="77240D33"/>
    <w:rsid w:val="77B37656"/>
    <w:rsid w:val="77F4039A"/>
    <w:rsid w:val="7836450F"/>
    <w:rsid w:val="78BE2756"/>
    <w:rsid w:val="79534C4C"/>
    <w:rsid w:val="79F17A2D"/>
    <w:rsid w:val="7AC35E02"/>
    <w:rsid w:val="7AEA7832"/>
    <w:rsid w:val="7D2F3C22"/>
    <w:rsid w:val="7D8921E8"/>
    <w:rsid w:val="7D937D0D"/>
    <w:rsid w:val="7ED204AA"/>
    <w:rsid w:val="7F671451"/>
    <w:rsid w:val="7FAE7080"/>
    <w:rsid w:val="7FF23296"/>
    <w:rsid w:val="7FF89459"/>
    <w:rsid w:val="99F97668"/>
    <w:rsid w:val="B8FBDDAF"/>
    <w:rsid w:val="BB31F776"/>
    <w:rsid w:val="BFFFFB3D"/>
    <w:rsid w:val="EEDB4DBF"/>
    <w:rsid w:val="FBDFA3FD"/>
    <w:rsid w:val="FE973F90"/>
    <w:rsid w:val="FEF0D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qFormat/>
    <w:uiPriority w:val="0"/>
    <w:pPr>
      <w:ind w:firstLine="420"/>
    </w:pPr>
    <w:rPr>
      <w:szCs w:val="20"/>
    </w:rPr>
  </w:style>
  <w:style w:type="paragraph" w:styleId="3">
    <w:name w:val="Body Text First Indent 2"/>
    <w:basedOn w:val="4"/>
    <w:next w:val="1"/>
    <w:qFormat/>
    <w:uiPriority w:val="0"/>
    <w:pPr>
      <w:ind w:left="0" w:leftChars="0"/>
    </w:pPr>
    <w:rPr>
      <w:rFonts w:eastAsia="Times New Roman"/>
    </w:rPr>
  </w:style>
  <w:style w:type="paragraph" w:styleId="4">
    <w:name w:val="Body Text Indent"/>
    <w:basedOn w:val="1"/>
    <w:next w:val="3"/>
    <w:semiHidden/>
    <w:qFormat/>
    <w:uiPriority w:val="0"/>
    <w:pPr>
      <w:spacing w:after="120"/>
      <w:ind w:left="420" w:leftChars="200"/>
    </w:pPr>
  </w:style>
  <w:style w:type="paragraph" w:styleId="5">
    <w:name w:val="Document Map"/>
    <w:basedOn w:val="1"/>
    <w:link w:val="28"/>
    <w:qFormat/>
    <w:uiPriority w:val="0"/>
    <w:rPr>
      <w:rFonts w:ascii="宋体"/>
      <w:sz w:val="18"/>
      <w:szCs w:val="18"/>
    </w:rPr>
  </w:style>
  <w:style w:type="paragraph" w:styleId="6">
    <w:name w:val="Body Text"/>
    <w:basedOn w:val="1"/>
    <w:link w:val="24"/>
    <w:qFormat/>
    <w:uiPriority w:val="0"/>
    <w:pPr>
      <w:spacing w:line="520" w:lineRule="exact"/>
      <w:ind w:firstLine="200" w:firstLineChars="200"/>
    </w:pPr>
    <w:rPr>
      <w:sz w:val="28"/>
    </w:rPr>
  </w:style>
  <w:style w:type="paragraph" w:styleId="7">
    <w:name w:val="Plain Text"/>
    <w:basedOn w:val="1"/>
    <w:link w:val="25"/>
    <w:qFormat/>
    <w:uiPriority w:val="99"/>
    <w:rPr>
      <w:rFonts w:ascii="宋体" w:hAnsi="Courier New"/>
      <w:szCs w:val="20"/>
    </w:rPr>
  </w:style>
  <w:style w:type="paragraph" w:styleId="8">
    <w:name w:val="Date"/>
    <w:basedOn w:val="1"/>
    <w:next w:val="1"/>
    <w:qFormat/>
    <w:uiPriority w:val="0"/>
    <w:pPr>
      <w:ind w:left="100" w:leftChars="2500"/>
    </w:pPr>
  </w:style>
  <w:style w:type="paragraph" w:styleId="9">
    <w:name w:val="Body Text Indent 2"/>
    <w:basedOn w:val="1"/>
    <w:link w:val="39"/>
    <w:qFormat/>
    <w:uiPriority w:val="0"/>
    <w:pPr>
      <w:spacing w:after="120" w:line="480" w:lineRule="auto"/>
      <w:ind w:left="420" w:leftChars="200"/>
    </w:p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12">
    <w:name w:val="Body Text First Indent"/>
    <w:basedOn w:val="6"/>
    <w:link w:val="38"/>
    <w:qFormat/>
    <w:uiPriority w:val="0"/>
    <w:pPr>
      <w:spacing w:after="120" w:line="240" w:lineRule="auto"/>
      <w:ind w:firstLine="420" w:firstLineChars="100"/>
    </w:pPr>
    <w:rPr>
      <w:sz w:val="21"/>
    </w:rPr>
  </w:style>
  <w:style w:type="character" w:styleId="15">
    <w:name w:val="page number"/>
    <w:basedOn w:val="14"/>
    <w:qFormat/>
    <w:uiPriority w:val="0"/>
  </w:style>
  <w:style w:type="character" w:styleId="16">
    <w:name w:val="Hyperlink"/>
    <w:qFormat/>
    <w:uiPriority w:val="0"/>
    <w:rPr>
      <w:color w:val="0000FF"/>
      <w:u w:val="single"/>
    </w:rPr>
  </w:style>
  <w:style w:type="character" w:customStyle="1" w:styleId="17">
    <w:name w:val="样式3 Char"/>
    <w:basedOn w:val="18"/>
    <w:link w:val="19"/>
    <w:qFormat/>
    <w:uiPriority w:val="0"/>
  </w:style>
  <w:style w:type="character" w:customStyle="1" w:styleId="18">
    <w:name w:val="页眉 Char"/>
    <w:link w:val="11"/>
    <w:qFormat/>
    <w:uiPriority w:val="0"/>
    <w:rPr>
      <w:kern w:val="2"/>
      <w:sz w:val="18"/>
      <w:szCs w:val="18"/>
    </w:rPr>
  </w:style>
  <w:style w:type="paragraph" w:customStyle="1" w:styleId="19">
    <w:name w:val="样式3"/>
    <w:basedOn w:val="11"/>
    <w:link w:val="17"/>
    <w:qFormat/>
    <w:uiPriority w:val="0"/>
    <w:pPr>
      <w:pBdr>
        <w:bottom w:val="none" w:color="auto" w:sz="0" w:space="0"/>
      </w:pBdr>
    </w:pPr>
  </w:style>
  <w:style w:type="character" w:customStyle="1" w:styleId="20">
    <w:name w:val="样式1 Char"/>
    <w:basedOn w:val="18"/>
    <w:link w:val="21"/>
    <w:qFormat/>
    <w:uiPriority w:val="0"/>
  </w:style>
  <w:style w:type="paragraph" w:customStyle="1" w:styleId="21">
    <w:name w:val="样式1"/>
    <w:basedOn w:val="11"/>
    <w:link w:val="20"/>
    <w:qFormat/>
    <w:uiPriority w:val="0"/>
    <w:pPr>
      <w:pBdr>
        <w:bottom w:val="none" w:color="auto" w:sz="0" w:space="0"/>
      </w:pBdr>
    </w:pPr>
  </w:style>
  <w:style w:type="character" w:customStyle="1" w:styleId="22">
    <w:name w:val="样式5 Char"/>
    <w:basedOn w:val="18"/>
    <w:link w:val="23"/>
    <w:qFormat/>
    <w:uiPriority w:val="0"/>
  </w:style>
  <w:style w:type="paragraph" w:customStyle="1" w:styleId="23">
    <w:name w:val="样式5"/>
    <w:basedOn w:val="11"/>
    <w:link w:val="22"/>
    <w:qFormat/>
    <w:uiPriority w:val="0"/>
    <w:pPr>
      <w:pBdr>
        <w:bottom w:val="none" w:color="auto" w:sz="0" w:space="0"/>
      </w:pBdr>
    </w:pPr>
  </w:style>
  <w:style w:type="character" w:customStyle="1" w:styleId="24">
    <w:name w:val="正文文本 Char"/>
    <w:link w:val="6"/>
    <w:qFormat/>
    <w:uiPriority w:val="0"/>
    <w:rPr>
      <w:kern w:val="2"/>
      <w:sz w:val="28"/>
      <w:szCs w:val="24"/>
    </w:rPr>
  </w:style>
  <w:style w:type="character" w:customStyle="1" w:styleId="25">
    <w:name w:val="纯文本 Char"/>
    <w:link w:val="7"/>
    <w:qFormat/>
    <w:uiPriority w:val="99"/>
    <w:rPr>
      <w:rFonts w:ascii="宋体" w:hAnsi="Courier New"/>
      <w:kern w:val="2"/>
      <w:sz w:val="21"/>
    </w:rPr>
  </w:style>
  <w:style w:type="character" w:customStyle="1" w:styleId="26">
    <w:name w:val="样式2 Char"/>
    <w:basedOn w:val="18"/>
    <w:link w:val="27"/>
    <w:qFormat/>
    <w:uiPriority w:val="0"/>
  </w:style>
  <w:style w:type="paragraph" w:customStyle="1" w:styleId="27">
    <w:name w:val="样式2"/>
    <w:basedOn w:val="11"/>
    <w:link w:val="26"/>
    <w:qFormat/>
    <w:uiPriority w:val="0"/>
    <w:pPr>
      <w:pBdr>
        <w:bottom w:val="none" w:color="auto" w:sz="0" w:space="0"/>
      </w:pBdr>
    </w:pPr>
  </w:style>
  <w:style w:type="character" w:customStyle="1" w:styleId="28">
    <w:name w:val="文档结构图 Char"/>
    <w:link w:val="5"/>
    <w:qFormat/>
    <w:uiPriority w:val="0"/>
    <w:rPr>
      <w:rFonts w:ascii="宋体"/>
      <w:kern w:val="2"/>
      <w:sz w:val="18"/>
      <w:szCs w:val="18"/>
    </w:rPr>
  </w:style>
  <w:style w:type="character" w:customStyle="1" w:styleId="29">
    <w:name w:val="样式4 Char"/>
    <w:basedOn w:val="18"/>
    <w:link w:val="30"/>
    <w:qFormat/>
    <w:uiPriority w:val="0"/>
  </w:style>
  <w:style w:type="paragraph" w:customStyle="1" w:styleId="30">
    <w:name w:val="样式4"/>
    <w:basedOn w:val="11"/>
    <w:link w:val="29"/>
    <w:qFormat/>
    <w:uiPriority w:val="0"/>
    <w:pPr>
      <w:pBdr>
        <w:bottom w:val="none" w:color="auto" w:sz="0" w:space="0"/>
      </w:pBdr>
    </w:pPr>
  </w:style>
  <w:style w:type="paragraph" w:customStyle="1" w:styleId="31">
    <w:name w:val="书 正文"/>
    <w:basedOn w:val="1"/>
    <w:qFormat/>
    <w:uiPriority w:val="0"/>
    <w:pPr>
      <w:ind w:firstLine="200" w:firstLineChars="200"/>
    </w:pPr>
    <w:rPr>
      <w:kern w:val="24"/>
      <w:sz w:val="24"/>
    </w:rPr>
  </w:style>
  <w:style w:type="paragraph" w:customStyle="1" w:styleId="32">
    <w:name w:val="_Style 14"/>
    <w:basedOn w:val="5"/>
    <w:semiHidden/>
    <w:qFormat/>
    <w:uiPriority w:val="0"/>
    <w:pPr>
      <w:shd w:val="clear" w:color="auto" w:fill="000080"/>
      <w:adjustRightInd w:val="0"/>
      <w:spacing w:line="436" w:lineRule="exact"/>
      <w:ind w:left="357" w:firstLine="200" w:firstLineChars="200"/>
      <w:jc w:val="left"/>
      <w:outlineLvl w:val="3"/>
    </w:pPr>
    <w:rPr>
      <w:rFonts w:ascii="Tahoma" w:hAnsi="Tahoma"/>
      <w:b/>
      <w:sz w:val="24"/>
      <w:szCs w:val="21"/>
    </w:rPr>
  </w:style>
  <w:style w:type="paragraph" w:customStyle="1" w:styleId="33">
    <w:name w:val="Char"/>
    <w:basedOn w:val="1"/>
    <w:qFormat/>
    <w:uiPriority w:val="0"/>
  </w:style>
  <w:style w:type="paragraph" w:customStyle="1" w:styleId="34">
    <w:name w:val="p0"/>
    <w:basedOn w:val="1"/>
    <w:qFormat/>
    <w:uiPriority w:val="0"/>
    <w:pPr>
      <w:widowControl/>
    </w:pPr>
    <w:rPr>
      <w:kern w:val="0"/>
      <w:szCs w:val="21"/>
    </w:rPr>
  </w:style>
  <w:style w:type="paragraph" w:customStyle="1" w:styleId="35">
    <w:name w:val="单学凯段落格式"/>
    <w:basedOn w:val="1"/>
    <w:qFormat/>
    <w:uiPriority w:val="0"/>
    <w:pPr>
      <w:adjustRightInd w:val="0"/>
      <w:snapToGrid w:val="0"/>
      <w:spacing w:line="500" w:lineRule="exact"/>
      <w:ind w:firstLine="560" w:firstLineChars="200"/>
      <w:jc w:val="left"/>
    </w:pPr>
    <w:rPr>
      <w:rFonts w:eastAsia="仿宋_GB2312"/>
      <w:color w:val="000000"/>
      <w:kern w:val="0"/>
      <w:sz w:val="28"/>
      <w:szCs w:val="28"/>
    </w:rPr>
  </w:style>
  <w:style w:type="paragraph" w:customStyle="1" w:styleId="36">
    <w:name w:val="环正文"/>
    <w:basedOn w:val="1"/>
    <w:qFormat/>
    <w:uiPriority w:val="0"/>
    <w:pPr>
      <w:widowControl/>
      <w:tabs>
        <w:tab w:val="left" w:pos="5094"/>
      </w:tabs>
      <w:adjustRightInd w:val="0"/>
      <w:spacing w:line="500" w:lineRule="exact"/>
      <w:ind w:firstLine="480" w:firstLineChars="200"/>
      <w:textAlignment w:val="baseline"/>
    </w:pPr>
    <w:rPr>
      <w:rFonts w:ascii="宋体" w:hAnsi="宋体"/>
      <w:color w:val="000000"/>
    </w:rPr>
  </w:style>
  <w:style w:type="paragraph" w:customStyle="1" w:styleId="37">
    <w:name w:val="报告表正文"/>
    <w:basedOn w:val="1"/>
    <w:qFormat/>
    <w:uiPriority w:val="0"/>
    <w:pPr>
      <w:ind w:firstLine="454"/>
      <w:contextualSpacing/>
    </w:pPr>
  </w:style>
  <w:style w:type="character" w:customStyle="1" w:styleId="38">
    <w:name w:val="正文首行缩进 Char"/>
    <w:basedOn w:val="24"/>
    <w:link w:val="12"/>
    <w:qFormat/>
    <w:uiPriority w:val="0"/>
    <w:rPr>
      <w:sz w:val="21"/>
    </w:rPr>
  </w:style>
  <w:style w:type="character" w:customStyle="1" w:styleId="39">
    <w:name w:val="正文文本缩进 2 Char"/>
    <w:basedOn w:val="14"/>
    <w:link w:val="9"/>
    <w:qFormat/>
    <w:uiPriority w:val="0"/>
    <w:rPr>
      <w:kern w:val="2"/>
      <w:sz w:val="21"/>
      <w:szCs w:val="24"/>
    </w:rPr>
  </w:style>
  <w:style w:type="paragraph" w:customStyle="1" w:styleId="40">
    <w:name w:val="样式 样式 样式 四号 左侧:  1.53 厘米 + 首行缩进:  2 字符 + 居中 左侧:  2 字符 首行缩进:  2..."/>
    <w:basedOn w:val="41"/>
    <w:qFormat/>
    <w:uiPriority w:val="0"/>
    <w:pPr>
      <w:jc w:val="center"/>
    </w:pPr>
  </w:style>
  <w:style w:type="paragraph" w:customStyle="1" w:styleId="41">
    <w:name w:val="样式 样式 四号 左侧:  1.53 厘米 + 首行缩进:  2 字符"/>
    <w:basedOn w:val="42"/>
    <w:qFormat/>
    <w:uiPriority w:val="0"/>
    <w:pPr>
      <w:ind w:left="200" w:leftChars="200"/>
    </w:pPr>
    <w:rPr>
      <w:szCs w:val="20"/>
    </w:rPr>
  </w:style>
  <w:style w:type="paragraph" w:customStyle="1" w:styleId="42">
    <w:name w:val="样式 四号 左侧:  1.53 厘米"/>
    <w:basedOn w:val="1"/>
    <w:qFormat/>
    <w:uiPriority w:val="0"/>
    <w:pPr>
      <w:adjustRightInd w:val="0"/>
    </w:pPr>
    <w:rPr>
      <w:w w:val="90"/>
      <w:sz w:val="28"/>
      <w:szCs w:val="28"/>
    </w:rPr>
  </w:style>
  <w:style w:type="paragraph" w:customStyle="1" w:styleId="43">
    <w:name w:val="样式 正文缩进正文缩进2正文缩进 Char Char正文缩进 Char Char Char Char正文缩进 Char ..."/>
    <w:basedOn w:val="2"/>
    <w:qFormat/>
    <w:uiPriority w:val="0"/>
    <w:pPr>
      <w:spacing w:line="360" w:lineRule="auto"/>
      <w:ind w:firstLine="200"/>
    </w:pPr>
    <w:rPr>
      <w:rFonts w:cs="宋体"/>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4</Pages>
  <Words>506</Words>
  <Characters>536</Characters>
  <Lines>14</Lines>
  <Paragraphs>4</Paragraphs>
  <TotalTime>26</TotalTime>
  <ScaleCrop>false</ScaleCrop>
  <LinksUpToDate>false</LinksUpToDate>
  <CharactersWithSpaces>541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2020-09-22T03:14:00Z</dcterms:created>
  <dc:creator>微软用户</dc:creator>
  <cp:lastModifiedBy>铃铛</cp:lastModifiedBy>
  <cp:lastPrinted>2025-02-07T06:52:00Z</cp:lastPrinted>
  <dcterms:modified xsi:type="dcterms:W3CDTF">2025-02-13T09:22:00Z</dcterms:modified>
  <dc:title>关于青铜峡市环境保护局</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24E75653E50B4F57928438DC26C52BA3</vt:lpwstr>
  </property>
  <property fmtid="{D5CDD505-2E9C-101B-9397-08002B2CF9AE}" pid="4" name="KSOTemplateDocerSaveRecord">
    <vt:lpwstr>eyJoZGlkIjoiMWMwMTZiZWEwZTRlMTBkMjA3MjFmZmE1NjgxZWU5ZDYiLCJ1c2VySWQiOiI3NjUyODczMzUifQ==</vt:lpwstr>
  </property>
</Properties>
</file>