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600" w:lineRule="exact"/>
        <w:jc w:val="center"/>
        <w:rPr>
          <w:rFonts w:ascii="方正小标宋_GBK" w:hAnsi="方正小标宋_GBK" w:eastAsia="方正小标宋_GBK" w:cs="方正小标宋_GBK"/>
          <w:color w:val="292929"/>
          <w:kern w:val="0"/>
          <w:sz w:val="36"/>
          <w:szCs w:val="36"/>
        </w:rPr>
      </w:pPr>
      <w:r>
        <w:rPr>
          <w:rFonts w:hint="eastAsia" w:ascii="方正小标宋_GBK" w:hAnsi="方正小标宋_GBK" w:eastAsia="方正小标宋_GBK" w:cs="方正小标宋_GBK"/>
          <w:color w:val="292929"/>
          <w:kern w:val="0"/>
          <w:sz w:val="36"/>
          <w:szCs w:val="36"/>
        </w:rPr>
        <w:t>建设项目环境影响评价文件拟进行审查审批的公示</w:t>
      </w:r>
    </w:p>
    <w:tbl>
      <w:tblPr>
        <w:tblStyle w:val="12"/>
        <w:tblpPr w:leftFromText="180" w:rightFromText="180" w:vertAnchor="text" w:horzAnchor="page" w:tblpX="981" w:tblpY="590"/>
        <w:tblOverlap w:val="never"/>
        <w:tblW w:w="14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5"/>
        <w:gridCol w:w="790"/>
        <w:gridCol w:w="885"/>
        <w:gridCol w:w="1215"/>
        <w:gridCol w:w="1125"/>
        <w:gridCol w:w="2160"/>
        <w:gridCol w:w="82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trPr>
        <w:tc>
          <w:tcPr>
            <w:tcW w:w="375"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序号</w:t>
            </w:r>
          </w:p>
        </w:tc>
        <w:tc>
          <w:tcPr>
            <w:tcW w:w="790"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项目名称</w:t>
            </w:r>
          </w:p>
        </w:tc>
        <w:tc>
          <w:tcPr>
            <w:tcW w:w="885"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建设地点</w:t>
            </w:r>
          </w:p>
        </w:tc>
        <w:tc>
          <w:tcPr>
            <w:tcW w:w="1215"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建设单位</w:t>
            </w:r>
          </w:p>
        </w:tc>
        <w:tc>
          <w:tcPr>
            <w:tcW w:w="1125"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环境影响评价机构</w:t>
            </w:r>
          </w:p>
        </w:tc>
        <w:tc>
          <w:tcPr>
            <w:tcW w:w="2160"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建设项目概况</w:t>
            </w:r>
          </w:p>
        </w:tc>
        <w:tc>
          <w:tcPr>
            <w:tcW w:w="8205"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主要环境影响及预防或者减轻不良环境影响的对策和措施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8" w:hRule="atLeast"/>
        </w:trPr>
        <w:tc>
          <w:tcPr>
            <w:tcW w:w="375" w:type="dxa"/>
            <w:vAlign w:val="center"/>
          </w:tcPr>
          <w:p>
            <w:pPr>
              <w:jc w:val="center"/>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w:t>
            </w:r>
          </w:p>
        </w:tc>
        <w:tc>
          <w:tcPr>
            <w:tcW w:w="790" w:type="dxa"/>
            <w:shd w:val="clear" w:color="auto" w:fill="auto"/>
            <w:vAlign w:val="center"/>
          </w:tcPr>
          <w:p>
            <w:pPr>
              <w:jc w:val="center"/>
              <w:rPr>
                <w:rFonts w:hint="eastAsia" w:ascii="仿宋_GB2312" w:hAnsi="仿宋_GB2312" w:eastAsia="仿宋_GB2312" w:cs="仿宋_GB2312"/>
                <w:color w:val="auto"/>
                <w:kern w:val="2"/>
                <w:sz w:val="24"/>
                <w:szCs w:val="24"/>
                <w:lang w:val="en-US" w:eastAsia="zh-CN" w:bidi="ar-SA"/>
              </w:rPr>
            </w:pPr>
            <w:r>
              <w:rPr>
                <w:rFonts w:hint="default" w:ascii="Times New Roman" w:hAnsi="Times New Roman" w:eastAsia="仿宋_GB2312" w:cs="Times New Roman"/>
                <w:color w:val="auto"/>
                <w:sz w:val="24"/>
                <w:highlight w:val="none"/>
                <w:lang w:val="en-US" w:eastAsia="zh-CN"/>
              </w:rPr>
              <w:t>固海扩灌2024年固扩</w:t>
            </w:r>
            <w:r>
              <w:rPr>
                <w:rFonts w:hint="eastAsia" w:ascii="Times New Roman" w:hAnsi="Times New Roman" w:eastAsia="仿宋_GB2312" w:cs="Times New Roman"/>
                <w:color w:val="auto"/>
                <w:sz w:val="24"/>
                <w:highlight w:val="none"/>
                <w:lang w:val="en-US" w:eastAsia="zh-CN"/>
              </w:rPr>
              <w:t>九</w:t>
            </w:r>
            <w:r>
              <w:rPr>
                <w:rFonts w:hint="default" w:ascii="Times New Roman" w:hAnsi="Times New Roman" w:eastAsia="仿宋_GB2312" w:cs="Times New Roman"/>
                <w:color w:val="auto"/>
                <w:sz w:val="24"/>
                <w:highlight w:val="none"/>
                <w:lang w:val="en-US" w:eastAsia="zh-CN"/>
              </w:rPr>
              <w:t>干渠水毁抢险工程</w:t>
            </w:r>
          </w:p>
        </w:tc>
        <w:tc>
          <w:tcPr>
            <w:tcW w:w="885" w:type="dxa"/>
            <w:shd w:val="clear" w:color="auto" w:fill="auto"/>
            <w:vAlign w:val="center"/>
          </w:tcPr>
          <w:p>
            <w:pPr>
              <w:jc w:val="center"/>
              <w:rPr>
                <w:rFonts w:hint="default" w:ascii="仿宋_GB2312" w:hAnsi="仿宋_GB2312" w:eastAsia="仿宋_GB2312" w:cs="仿宋_GB2312"/>
                <w:color w:val="auto"/>
                <w:kern w:val="2"/>
                <w:sz w:val="24"/>
                <w:szCs w:val="24"/>
                <w:lang w:val="en-US" w:eastAsia="zh-CN" w:bidi="ar-SA"/>
              </w:rPr>
            </w:pPr>
            <w:r>
              <w:rPr>
                <w:rFonts w:hint="default" w:ascii="Times New Roman" w:hAnsi="Times New Roman" w:eastAsia="仿宋_GB2312" w:cs="Times New Roman"/>
                <w:color w:val="auto"/>
                <w:sz w:val="24"/>
                <w:highlight w:val="none"/>
                <w:u w:val="none"/>
                <w:lang w:val="en-US" w:eastAsia="zh-CN"/>
              </w:rPr>
              <w:t>中卫市</w:t>
            </w:r>
            <w:r>
              <w:rPr>
                <w:rFonts w:hint="eastAsia" w:ascii="Times New Roman" w:hAnsi="Times New Roman" w:eastAsia="仿宋_GB2312" w:cs="Times New Roman"/>
                <w:color w:val="auto"/>
                <w:sz w:val="24"/>
                <w:highlight w:val="none"/>
                <w:u w:val="none"/>
                <w:lang w:val="en-US" w:eastAsia="zh-CN"/>
              </w:rPr>
              <w:t>海原</w:t>
            </w:r>
            <w:bookmarkStart w:id="0" w:name="_GoBack"/>
            <w:bookmarkEnd w:id="0"/>
            <w:r>
              <w:rPr>
                <w:rFonts w:hint="default" w:ascii="Times New Roman" w:hAnsi="Times New Roman" w:eastAsia="仿宋_GB2312" w:cs="Times New Roman"/>
                <w:color w:val="auto"/>
                <w:sz w:val="24"/>
                <w:highlight w:val="none"/>
                <w:u w:val="none"/>
                <w:lang w:val="en-US" w:eastAsia="zh-CN"/>
              </w:rPr>
              <w:t>县</w:t>
            </w:r>
          </w:p>
        </w:tc>
        <w:tc>
          <w:tcPr>
            <w:tcW w:w="1215" w:type="dxa"/>
            <w:shd w:val="clear" w:color="auto" w:fill="auto"/>
            <w:vAlign w:val="center"/>
          </w:tcPr>
          <w:p>
            <w:pPr>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宁夏回族自治区水利工程建设中心</w:t>
            </w:r>
          </w:p>
        </w:tc>
        <w:tc>
          <w:tcPr>
            <w:tcW w:w="1125" w:type="dxa"/>
            <w:shd w:val="clear" w:color="auto" w:fill="auto"/>
            <w:vAlign w:val="center"/>
          </w:tcPr>
          <w:p>
            <w:pPr>
              <w:jc w:val="center"/>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宁夏中科安创科技有限公司</w:t>
            </w:r>
          </w:p>
        </w:tc>
        <w:tc>
          <w:tcPr>
            <w:tcW w:w="2160" w:type="dxa"/>
            <w:vAlign w:val="center"/>
          </w:tcPr>
          <w:p>
            <w:pPr>
              <w:jc w:val="left"/>
              <w:rPr>
                <w:rFonts w:hint="eastAsia" w:ascii="仿宋_GB2312" w:hAnsi="仿宋_GB2312" w:eastAsia="仿宋_GB2312" w:cs="仿宋_GB2312"/>
                <w:color w:val="auto"/>
                <w:kern w:val="2"/>
                <w:sz w:val="24"/>
                <w:szCs w:val="24"/>
                <w:lang w:val="en-US" w:eastAsia="zh-CN" w:bidi="ar-SA"/>
              </w:rPr>
            </w:pPr>
            <w:r>
              <w:rPr>
                <w:rFonts w:hint="default" w:ascii="Times New Roman" w:hAnsi="Times New Roman" w:eastAsia="仿宋_GB2312" w:cs="Times New Roman"/>
                <w:bCs/>
                <w:color w:val="auto"/>
                <w:sz w:val="24"/>
                <w:highlight w:val="none"/>
                <w:lang w:val="en-US" w:eastAsia="zh-CN"/>
              </w:rPr>
              <w:t>本工程拟对固扩九干渠局部沉陷、滑塌、水毁的2.7km渠道重新砌护，采用全断面现浇混凝土加强砌护型式，断面型式为梯形。新建排水沟0.9km，排洪入渠溢流堰2座。</w:t>
            </w:r>
          </w:p>
        </w:tc>
        <w:tc>
          <w:tcPr>
            <w:tcW w:w="8205" w:type="dxa"/>
            <w:vAlign w:val="center"/>
          </w:tcPr>
          <w:p>
            <w:pPr>
              <w:jc w:val="left"/>
              <w:rPr>
                <w:rFonts w:hint="default" w:ascii="仿宋_GB2312" w:hAnsi="仿宋_GB2312" w:eastAsia="仿宋_GB2312" w:cs="仿宋_GB2312"/>
                <w:b w:val="0"/>
                <w:bCs w:val="0"/>
                <w:color w:val="auto"/>
                <w:kern w:val="2"/>
                <w:sz w:val="24"/>
                <w:szCs w:val="24"/>
                <w:lang w:val="en-US" w:eastAsia="zh-CN" w:bidi="ar-SA"/>
              </w:rPr>
            </w:pPr>
            <w:r>
              <w:rPr>
                <w:rFonts w:hint="default" w:ascii="仿宋_GB2312" w:hAnsi="仿宋_GB2312" w:eastAsia="仿宋_GB2312" w:cs="仿宋_GB2312"/>
                <w:b w:val="0"/>
                <w:bCs w:val="0"/>
                <w:color w:val="auto"/>
                <w:kern w:val="2"/>
                <w:sz w:val="24"/>
                <w:szCs w:val="24"/>
                <w:lang w:val="en-US" w:eastAsia="zh-CN" w:bidi="ar-SA"/>
              </w:rPr>
              <w:t>施工期生态环境保护措施</w:t>
            </w:r>
          </w:p>
          <w:p>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1、大气污染防治措施</w:t>
            </w:r>
          </w:p>
          <w:p>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施工期建立健全施工扬尘治理责任制，严格落实施工现场围挡、物料堆放覆盖、土方开挖湿法作业、出入车辆清洗、车辆密闭运输等“6个100%”扬尘防控措施,确保颗粒物无组织排放须满足《大气污染物综合排放标准》(GB16297-1996)表2排放限值。</w:t>
            </w:r>
          </w:p>
          <w:p>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2、水污染防治措施</w:t>
            </w:r>
          </w:p>
          <w:p>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施工期不涉及深挖基坑降水，混凝土浇筑模具清洗、养护废水经沉淀后用于施工场地洒水抑尘或混凝土养护用水，不外排。施工人员租住于周边村庄，生活污水依托周边村庄现有生活污水处理措施。</w:t>
            </w:r>
          </w:p>
          <w:p>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3、噪声污染防治措施</w:t>
            </w:r>
          </w:p>
          <w:p>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施工期通过选用低噪声设备、加强设备维护、合理安排施工时间，采取降噪减震等措施，确保施工期噪声须达到《建筑施工场界环境噪声排放标准》（GB12523-2011）排放限值。</w:t>
            </w:r>
          </w:p>
          <w:p>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4、固体废物污染防治措施</w:t>
            </w:r>
          </w:p>
          <w:p>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渠道砌护施工前清基及拆除砼板等废渣运至政府指定的一般固体废物填埋场进行处理。施工人员租住于周边村庄，生活垃圾依托周边村庄现有生活设施收集。</w:t>
            </w:r>
          </w:p>
          <w:p>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5、生态保护措施</w:t>
            </w:r>
          </w:p>
          <w:p>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施工期结束临时占地的植被恢复，伴随着各项生态恢复措施的启动，生态系统结构也会逐渐得到改善，生态系统的完整性将得到修复，对区域生态环境的影响将得到缓解。</w:t>
            </w:r>
          </w:p>
          <w:p>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项目运营期</w:t>
            </w:r>
            <w:r>
              <w:rPr>
                <w:rFonts w:hint="eastAsia" w:ascii="仿宋_GB2312" w:hAnsi="仿宋_GB2312" w:eastAsia="仿宋_GB2312" w:cs="仿宋_GB2312"/>
                <w:color w:val="auto"/>
                <w:kern w:val="2"/>
                <w:sz w:val="24"/>
                <w:szCs w:val="24"/>
                <w:lang w:val="en-US" w:eastAsia="zh-CN" w:bidi="ar-SA"/>
              </w:rPr>
              <w:t>无废气、废水、噪声产生，</w:t>
            </w:r>
          </w:p>
          <w:p>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沟道内日常清理水面漂浮物、清理枯死的植物、沉沙等，建设单位定期清理送至政府指定地点处置。</w:t>
            </w:r>
          </w:p>
        </w:tc>
      </w:tr>
    </w:tbl>
    <w:p>
      <w:pPr>
        <w:pStyle w:val="16"/>
        <w:ind w:firstLine="0" w:firstLineChars="0"/>
        <w:rPr>
          <w:rFonts w:hint="eastAsia" w:ascii="仿宋_GB2312" w:hAnsi="仿宋_GB2312" w:eastAsia="仿宋_GB2312" w:cs="仿宋_GB2312"/>
          <w:sz w:val="32"/>
          <w:szCs w:val="32"/>
        </w:rPr>
      </w:pPr>
    </w:p>
    <w:p>
      <w:pPr>
        <w:pStyle w:val="16"/>
        <w:ind w:firstLine="0" w:firstLineChars="0"/>
        <w:rPr>
          <w:rFonts w:hint="eastAsia" w:ascii="仿宋_GB2312" w:hAnsi="仿宋_GB2312" w:eastAsia="仿宋_GB2312" w:cs="仿宋_GB2312"/>
          <w:sz w:val="32"/>
          <w:szCs w:val="32"/>
        </w:rPr>
      </w:pPr>
    </w:p>
    <w:sectPr>
      <w:pgSz w:w="16838" w:h="11906" w:orient="landscape"/>
      <w:pgMar w:top="283" w:right="1157" w:bottom="283" w:left="93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00000000" w:usb1="00000000" w:usb2="00000000" w:usb3="00000000" w:csb0="00000000" w:csb1="00000000"/>
  </w:font>
  <w:font w:name="宋体">
    <w:panose1 w:val="02030304000000000000"/>
    <w:charset w:val="80"/>
    <w:family w:val="auto"/>
    <w:pitch w:val="default"/>
    <w:sig w:usb0="E7FFAEFF" w:usb1="F9FFFFFF" w:usb2="000FFDFF" w:usb3="00000000" w:csb0="603F01FF" w:csb1="FFFF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仿宋_GB2312">
    <w:panose1 w:val="02010609030101010101"/>
    <w:charset w:val="86"/>
    <w:family w:val="modern"/>
    <w:pitch w:val="default"/>
    <w:sig w:usb0="00000001" w:usb1="080E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M2ZjAzNTI5M2I3YWYxZmY5YzUyYWE5NzkyYjE5MzAifQ=="/>
  </w:docVars>
  <w:rsids>
    <w:rsidRoot w:val="080E7B1F"/>
    <w:rsid w:val="002B2BE2"/>
    <w:rsid w:val="00407B3D"/>
    <w:rsid w:val="00506CDD"/>
    <w:rsid w:val="0210321C"/>
    <w:rsid w:val="025666DE"/>
    <w:rsid w:val="041A4B69"/>
    <w:rsid w:val="04CB4029"/>
    <w:rsid w:val="052B0521"/>
    <w:rsid w:val="07B60F75"/>
    <w:rsid w:val="07BD7601"/>
    <w:rsid w:val="080E7B1F"/>
    <w:rsid w:val="08A76EF7"/>
    <w:rsid w:val="08B44B57"/>
    <w:rsid w:val="0A7113D6"/>
    <w:rsid w:val="0A745713"/>
    <w:rsid w:val="0ACB0F75"/>
    <w:rsid w:val="0B731EED"/>
    <w:rsid w:val="0D164F83"/>
    <w:rsid w:val="0E6226F7"/>
    <w:rsid w:val="0EB54ECC"/>
    <w:rsid w:val="0F872CE8"/>
    <w:rsid w:val="1059048B"/>
    <w:rsid w:val="11100073"/>
    <w:rsid w:val="1285750E"/>
    <w:rsid w:val="14A0682A"/>
    <w:rsid w:val="1564628A"/>
    <w:rsid w:val="15FA74E9"/>
    <w:rsid w:val="16804237"/>
    <w:rsid w:val="16FB0F92"/>
    <w:rsid w:val="1784188A"/>
    <w:rsid w:val="181E54C4"/>
    <w:rsid w:val="1B09140A"/>
    <w:rsid w:val="1B5843F4"/>
    <w:rsid w:val="1B972A0D"/>
    <w:rsid w:val="1BBE30B8"/>
    <w:rsid w:val="1CBB4733"/>
    <w:rsid w:val="1FBD5958"/>
    <w:rsid w:val="1FD255CD"/>
    <w:rsid w:val="210C5746"/>
    <w:rsid w:val="274026F8"/>
    <w:rsid w:val="27A96F47"/>
    <w:rsid w:val="2AE84B5C"/>
    <w:rsid w:val="2B054E4E"/>
    <w:rsid w:val="2C7D0568"/>
    <w:rsid w:val="2E7203C8"/>
    <w:rsid w:val="2FAA64AB"/>
    <w:rsid w:val="311779D7"/>
    <w:rsid w:val="32992A21"/>
    <w:rsid w:val="32DE2F9B"/>
    <w:rsid w:val="331B2029"/>
    <w:rsid w:val="33A40956"/>
    <w:rsid w:val="348A6935"/>
    <w:rsid w:val="366F7121"/>
    <w:rsid w:val="375564CF"/>
    <w:rsid w:val="37F92B6D"/>
    <w:rsid w:val="3A8A0CF6"/>
    <w:rsid w:val="3B9A4CFB"/>
    <w:rsid w:val="3D5B56FC"/>
    <w:rsid w:val="3E6071EC"/>
    <w:rsid w:val="3F7A7718"/>
    <w:rsid w:val="3FEE324A"/>
    <w:rsid w:val="40283D99"/>
    <w:rsid w:val="4157311A"/>
    <w:rsid w:val="418D716C"/>
    <w:rsid w:val="41D3159C"/>
    <w:rsid w:val="422505D8"/>
    <w:rsid w:val="424E44C8"/>
    <w:rsid w:val="45552E54"/>
    <w:rsid w:val="45CD2A1A"/>
    <w:rsid w:val="46433569"/>
    <w:rsid w:val="47163DD9"/>
    <w:rsid w:val="480B3280"/>
    <w:rsid w:val="48EB6321"/>
    <w:rsid w:val="49721BE6"/>
    <w:rsid w:val="4E065115"/>
    <w:rsid w:val="4E146C4B"/>
    <w:rsid w:val="4EB242E9"/>
    <w:rsid w:val="4F7A7C5B"/>
    <w:rsid w:val="51A807E4"/>
    <w:rsid w:val="53CA2DA6"/>
    <w:rsid w:val="541C0D00"/>
    <w:rsid w:val="55C5563B"/>
    <w:rsid w:val="55CA5EB7"/>
    <w:rsid w:val="5614122C"/>
    <w:rsid w:val="568A3BF9"/>
    <w:rsid w:val="577473DD"/>
    <w:rsid w:val="5825082B"/>
    <w:rsid w:val="59314455"/>
    <w:rsid w:val="5BF70B72"/>
    <w:rsid w:val="5CA139A4"/>
    <w:rsid w:val="5E177132"/>
    <w:rsid w:val="60D809DC"/>
    <w:rsid w:val="60E05C0B"/>
    <w:rsid w:val="61512E34"/>
    <w:rsid w:val="61B87E3F"/>
    <w:rsid w:val="631445C1"/>
    <w:rsid w:val="639B42E9"/>
    <w:rsid w:val="63B757A8"/>
    <w:rsid w:val="6584425F"/>
    <w:rsid w:val="679E78B0"/>
    <w:rsid w:val="67B72A24"/>
    <w:rsid w:val="67D521D9"/>
    <w:rsid w:val="6831170C"/>
    <w:rsid w:val="686D054C"/>
    <w:rsid w:val="691A59EE"/>
    <w:rsid w:val="6A5817BE"/>
    <w:rsid w:val="6A864AC1"/>
    <w:rsid w:val="6AD02EDB"/>
    <w:rsid w:val="6E7853B1"/>
    <w:rsid w:val="6FD8457F"/>
    <w:rsid w:val="7069615F"/>
    <w:rsid w:val="70A90B19"/>
    <w:rsid w:val="70AF0C51"/>
    <w:rsid w:val="73377338"/>
    <w:rsid w:val="74360436"/>
    <w:rsid w:val="74664BAC"/>
    <w:rsid w:val="756B742A"/>
    <w:rsid w:val="75B33643"/>
    <w:rsid w:val="764B09F2"/>
    <w:rsid w:val="77C25799"/>
    <w:rsid w:val="780B6871"/>
    <w:rsid w:val="78C755C4"/>
    <w:rsid w:val="7984105F"/>
    <w:rsid w:val="7A15435B"/>
    <w:rsid w:val="7AC42B6F"/>
    <w:rsid w:val="7CE643A1"/>
    <w:rsid w:val="7DBFD21A"/>
    <w:rsid w:val="7DD81BC4"/>
    <w:rsid w:val="7E146E60"/>
    <w:rsid w:val="7F1F6B99"/>
    <w:rsid w:val="FFFB6E8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3"/>
    <w:unhideWhenUsed/>
    <w:qFormat/>
    <w:uiPriority w:val="0"/>
    <w:pPr>
      <w:ind w:firstLine="420" w:firstLineChars="200"/>
    </w:pPr>
  </w:style>
  <w:style w:type="paragraph" w:customStyle="1" w:styleId="3">
    <w:name w:val="表头"/>
    <w:basedOn w:val="4"/>
    <w:next w:val="1"/>
    <w:qFormat/>
    <w:uiPriority w:val="0"/>
    <w:pPr>
      <w:snapToGrid w:val="0"/>
      <w:spacing w:before="60" w:beforeLines="25"/>
    </w:pPr>
    <w:rPr>
      <w:rFonts w:hAnsi="宋体" w:eastAsia="仿宋_GB2312"/>
      <w:b/>
      <w:sz w:val="28"/>
      <w:szCs w:val="28"/>
    </w:rPr>
  </w:style>
  <w:style w:type="paragraph" w:styleId="4">
    <w:name w:val="List"/>
    <w:basedOn w:val="1"/>
    <w:qFormat/>
    <w:uiPriority w:val="0"/>
    <w:pPr>
      <w:ind w:left="200" w:hanging="200" w:hangingChars="200"/>
    </w:pPr>
  </w:style>
  <w:style w:type="paragraph" w:styleId="5">
    <w:name w:val="Body Text"/>
    <w:basedOn w:val="1"/>
    <w:next w:val="6"/>
    <w:qFormat/>
    <w:uiPriority w:val="0"/>
    <w:pPr>
      <w:spacing w:line="520" w:lineRule="exact"/>
      <w:ind w:firstLine="200" w:firstLineChars="200"/>
    </w:pPr>
    <w:rPr>
      <w:sz w:val="28"/>
    </w:rPr>
  </w:style>
  <w:style w:type="paragraph" w:customStyle="1" w:styleId="6">
    <w:name w:val="Date1"/>
    <w:basedOn w:val="1"/>
    <w:next w:val="1"/>
    <w:qFormat/>
    <w:uiPriority w:val="0"/>
    <w:pPr>
      <w:adjustRightInd w:val="0"/>
      <w:jc w:val="left"/>
      <w:textAlignment w:val="baseline"/>
    </w:pPr>
    <w:rPr>
      <w:rFonts w:ascii="宋体" w:hAnsi="宋体"/>
      <w:sz w:val="28"/>
      <w:szCs w:val="20"/>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index heading"/>
    <w:basedOn w:val="1"/>
    <w:next w:val="9"/>
    <w:qFormat/>
    <w:uiPriority w:val="0"/>
    <w:rPr>
      <w:rFonts w:ascii="Arial" w:hAnsi="Arial"/>
      <w:b/>
    </w:rPr>
  </w:style>
  <w:style w:type="paragraph" w:styleId="9">
    <w:name w:val="index 1"/>
    <w:basedOn w:val="1"/>
    <w:next w:val="1"/>
    <w:qFormat/>
    <w:uiPriority w:val="0"/>
    <w:pPr>
      <w:adjustRightInd w:val="0"/>
      <w:spacing w:line="240" w:lineRule="atLeast"/>
      <w:jc w:val="center"/>
      <w:textAlignment w:val="baseline"/>
    </w:pPr>
    <w:rPr>
      <w:rFonts w:ascii="宋体" w:hAnsi="宋体"/>
      <w:kern w:val="0"/>
    </w:rPr>
  </w:style>
  <w:style w:type="paragraph" w:styleId="10">
    <w:name w:val="Body Text First Indent 2"/>
    <w:basedOn w:val="1"/>
    <w:next w:val="1"/>
    <w:unhideWhenUsed/>
    <w:qFormat/>
    <w:uiPriority w:val="99"/>
    <w:pPr>
      <w:ind w:firstLine="420" w:firstLineChars="200"/>
    </w:p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4">
    <w:name w:val="正文1"/>
    <w:basedOn w:val="1"/>
    <w:next w:val="1"/>
    <w:qFormat/>
    <w:uiPriority w:val="0"/>
    <w:pPr>
      <w:spacing w:line="360" w:lineRule="auto"/>
      <w:ind w:firstLine="480" w:firstLineChars="200"/>
    </w:pPr>
    <w:rPr>
      <w:kern w:val="0"/>
      <w:sz w:val="20"/>
      <w:szCs w:val="20"/>
    </w:rPr>
  </w:style>
  <w:style w:type="paragraph" w:customStyle="1" w:styleId="15">
    <w:name w:val="章标题"/>
    <w:next w:val="16"/>
    <w:qFormat/>
    <w:uiPriority w:val="0"/>
    <w:pPr>
      <w:spacing w:beforeLines="100" w:afterLines="100" w:line="360" w:lineRule="auto"/>
      <w:ind w:firstLine="200" w:firstLineChars="200"/>
      <w:jc w:val="both"/>
      <w:outlineLvl w:val="1"/>
    </w:pPr>
    <w:rPr>
      <w:rFonts w:ascii="黑体" w:hAnsi="Calibri" w:eastAsia="黑体" w:cs="Times New Roman"/>
      <w:sz w:val="21"/>
      <w:szCs w:val="21"/>
      <w:lang w:val="en-US" w:eastAsia="zh-CN" w:bidi="ar-SA"/>
    </w:rPr>
  </w:style>
  <w:style w:type="paragraph" w:customStyle="1" w:styleId="16">
    <w:name w:val="段"/>
    <w:qFormat/>
    <w:uiPriority w:val="0"/>
    <w:pPr>
      <w:tabs>
        <w:tab w:val="center" w:pos="4201"/>
        <w:tab w:val="right" w:leader="dot" w:pos="9298"/>
      </w:tabs>
      <w:autoSpaceDE w:val="0"/>
      <w:autoSpaceDN w:val="0"/>
      <w:spacing w:line="360" w:lineRule="auto"/>
      <w:ind w:firstLine="420" w:firstLineChars="200"/>
      <w:jc w:val="both"/>
    </w:pPr>
    <w:rPr>
      <w:rFonts w:ascii="宋体" w:hAnsi="Calibri" w:eastAsia="宋体" w:cs="Times New Roman"/>
      <w:sz w:val="21"/>
      <w:szCs w:val="21"/>
      <w:lang w:val="en-US" w:eastAsia="zh-CN" w:bidi="ar-SA"/>
    </w:rPr>
  </w:style>
  <w:style w:type="paragraph" w:customStyle="1" w:styleId="17">
    <w:name w:val="Default"/>
    <w:basedOn w:val="1"/>
    <w:next w:val="8"/>
    <w:qFormat/>
    <w:uiPriority w:val="0"/>
    <w:pPr>
      <w:autoSpaceDE w:val="0"/>
      <w:autoSpaceDN w:val="0"/>
      <w:adjustRightInd w:val="0"/>
      <w:jc w:val="left"/>
    </w:pPr>
    <w:rPr>
      <w:rFonts w:hint="eastAsia" w:ascii="宋体"/>
      <w:color w:val="000000"/>
      <w:kern w:val="0"/>
      <w:sz w:val="24"/>
    </w:rPr>
  </w:style>
  <w:style w:type="paragraph" w:customStyle="1" w:styleId="18">
    <w:name w:val="正文（缩进）"/>
    <w:basedOn w:val="19"/>
    <w:next w:val="1"/>
    <w:qFormat/>
    <w:uiPriority w:val="99"/>
    <w:pPr>
      <w:tabs>
        <w:tab w:val="left" w:pos="4584"/>
      </w:tabs>
      <w:spacing w:line="360" w:lineRule="auto"/>
      <w:ind w:firstLine="480" w:firstLineChars="200"/>
    </w:pPr>
    <w:rPr>
      <w:sz w:val="24"/>
    </w:rPr>
  </w:style>
  <w:style w:type="paragraph" w:customStyle="1" w:styleId="19">
    <w:name w:val="正文(首行缩进)"/>
    <w:basedOn w:val="1"/>
    <w:qFormat/>
    <w:uiPriority w:val="0"/>
    <w:pPr>
      <w:tabs>
        <w:tab w:val="left" w:pos="4584"/>
      </w:tabs>
      <w:adjustRightInd w:val="0"/>
      <w:snapToGrid w:val="0"/>
      <w:jc w:val="center"/>
    </w:pPr>
    <w:rPr>
      <w:rFonts w:ascii="宋体" w:hAnsi="宋体"/>
      <w:snapToGrid w:val="0"/>
      <w:kern w:val="0"/>
      <w:sz w:val="20"/>
      <w:szCs w:val="21"/>
    </w:rPr>
  </w:style>
  <w:style w:type="paragraph" w:customStyle="1" w:styleId="20">
    <w:name w:val="表 正文"/>
    <w:basedOn w:val="1"/>
    <w:qFormat/>
    <w:uiPriority w:val="0"/>
    <w:pPr>
      <w:snapToGrid w:val="0"/>
      <w:spacing w:line="360" w:lineRule="auto"/>
      <w:ind w:firstLine="200" w:firstLineChars="200"/>
    </w:pPr>
    <w:rPr>
      <w:rFonts w:ascii="仿宋_GB2312" w:eastAsia="仿宋_GB2312"/>
      <w:kern w:val="44"/>
      <w:sz w:val="2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76</Words>
  <Characters>76</Characters>
  <Lines>6</Lines>
  <Paragraphs>1</Paragraphs>
  <TotalTime>9</TotalTime>
  <ScaleCrop>false</ScaleCrop>
  <LinksUpToDate>false</LinksUpToDate>
  <CharactersWithSpaces>79</CharactersWithSpaces>
  <Application>WPS Office_11.8.2.11929_F1E327BC-269C-435d-A152-05C5408002CA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2021-01-14T21:57:00Z</dcterms:created>
  <dc:creator>Administrator</dc:creator>
  <cp:lastModifiedBy>kylin</cp:lastModifiedBy>
  <dcterms:modified xsi:type="dcterms:W3CDTF">2025-01-26T15:44:28Z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2052-11.8.2.11929</vt:lpwstr>
  </property>
  <property fmtid="{D5CDD505-2E9C-101B-9397-08002B2CF9AE}" pid="3" name="ICV">
    <vt:lpwstr>FE315282BDB11D80DCE795677E33FEA4</vt:lpwstr>
  </property>
  <property fmtid="{D5CDD505-2E9C-101B-9397-08002B2CF9AE}" pid="4" name="KSOTemplateDocerSaveRecord">
    <vt:lpwstr>eyJoZGlkIjoiNjY1MzA1MDUyMjYyNDI3YmYwMTMzN2M1NmQ2MmIwNGIiLCJ1c2VySWQiOiI3Nzk5NjcwMDQifQ==</vt:lpwstr>
  </property>
</Properties>
</file>