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51FF3">
      <w:pPr>
        <w:pStyle w:val="4"/>
        <w:rPr>
          <w:rFonts w:hint="eastAsia" w:ascii="黑体" w:hAnsi="黑体" w:eastAsia="黑体" w:cs="黑体"/>
          <w:color w:val="auto"/>
          <w:spacing w:val="-20"/>
          <w:kern w:val="2"/>
          <w:sz w:val="32"/>
          <w:szCs w:val="32"/>
          <w:lang w:val="en-US" w:eastAsia="zh-CN"/>
        </w:rPr>
      </w:pPr>
      <w:r>
        <w:rPr>
          <w:rFonts w:hint="eastAsia" w:ascii="黑体" w:hAnsi="黑体" w:eastAsia="黑体" w:cs="黑体"/>
          <w:b w:val="0"/>
          <w:bCs w:val="0"/>
          <w:sz w:val="32"/>
          <w:szCs w:val="32"/>
          <w:lang w:val="en-US" w:eastAsia="zh-CN"/>
        </w:rPr>
        <w:t>“宁湘直流”配套新能源基地海原100万千瓦风电</w:t>
      </w:r>
      <w:r>
        <w:rPr>
          <w:rFonts w:hint="eastAsia" w:ascii="黑体" w:hAnsi="黑体" w:eastAsia="黑体" w:cs="黑体"/>
          <w:b w:val="0"/>
          <w:bCs w:val="0"/>
          <w:sz w:val="32"/>
          <w:szCs w:val="32"/>
          <w:vertAlign w:val="baseline"/>
          <w:lang w:val="en-US" w:eastAsia="zh-CN"/>
        </w:rPr>
        <w:t>项目</w:t>
      </w:r>
      <w:r>
        <w:rPr>
          <w:rFonts w:hint="eastAsia" w:ascii="黑体" w:hAnsi="黑体" w:eastAsia="黑体" w:cs="黑体"/>
          <w:color w:val="292929"/>
          <w:kern w:val="0"/>
          <w:sz w:val="32"/>
          <w:szCs w:val="32"/>
        </w:rPr>
        <w:t>环境影响评价文件拟审查审批</w:t>
      </w:r>
      <w:r>
        <w:rPr>
          <w:rFonts w:hint="eastAsia" w:ascii="黑体" w:hAnsi="黑体" w:eastAsia="黑体" w:cs="黑体"/>
          <w:color w:val="292929"/>
          <w:kern w:val="0"/>
          <w:sz w:val="32"/>
          <w:szCs w:val="32"/>
          <w:lang w:val="en-US" w:eastAsia="zh-CN"/>
        </w:rPr>
        <w:t>公示</w:t>
      </w:r>
      <w:r>
        <w:rPr>
          <w:rFonts w:hint="eastAsia" w:ascii="黑体" w:hAnsi="黑体" w:eastAsia="黑体" w:cs="黑体"/>
          <w:color w:val="auto"/>
          <w:spacing w:val="-20"/>
          <w:kern w:val="2"/>
          <w:sz w:val="32"/>
          <w:szCs w:val="32"/>
          <w:lang w:val="en-US" w:eastAsia="zh-CN"/>
        </w:rPr>
        <w:t>表</w:t>
      </w:r>
    </w:p>
    <w:tbl>
      <w:tblPr>
        <w:tblStyle w:val="12"/>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65"/>
        <w:gridCol w:w="900"/>
        <w:gridCol w:w="870"/>
        <w:gridCol w:w="1290"/>
        <w:gridCol w:w="2835"/>
        <w:gridCol w:w="7620"/>
      </w:tblGrid>
      <w:tr w14:paraId="210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50191BFE">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65" w:type="dxa"/>
            <w:vAlign w:val="center"/>
          </w:tcPr>
          <w:p w14:paraId="70D3F299">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900" w:type="dxa"/>
            <w:vAlign w:val="center"/>
          </w:tcPr>
          <w:p w14:paraId="2352182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70" w:type="dxa"/>
            <w:vAlign w:val="center"/>
          </w:tcPr>
          <w:p w14:paraId="153DD5EA">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290" w:type="dxa"/>
            <w:vAlign w:val="center"/>
          </w:tcPr>
          <w:p w14:paraId="755F6851">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2835" w:type="dxa"/>
            <w:vAlign w:val="center"/>
          </w:tcPr>
          <w:p w14:paraId="201D269F">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7620" w:type="dxa"/>
            <w:vAlign w:val="center"/>
          </w:tcPr>
          <w:p w14:paraId="76DE1B8E">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5AE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1" w:hRule="atLeast"/>
        </w:trPr>
        <w:tc>
          <w:tcPr>
            <w:tcW w:w="375" w:type="dxa"/>
            <w:vAlign w:val="center"/>
          </w:tcPr>
          <w:p w14:paraId="598AC265">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865" w:type="dxa"/>
            <w:vAlign w:val="center"/>
          </w:tcPr>
          <w:p w14:paraId="7CBBC045">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“宁湘直流”配套新能源基地海原100万千瓦风电项目</w:t>
            </w:r>
          </w:p>
        </w:tc>
        <w:tc>
          <w:tcPr>
            <w:tcW w:w="900" w:type="dxa"/>
            <w:vAlign w:val="center"/>
          </w:tcPr>
          <w:p w14:paraId="01B5BA49">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李旺镇、史店乡、树台乡、关桥乡、贾塘乡、曹洼乡、九彩乡、李俊乡、红羊乡、关庄乡、甘城乡、郑旗乡</w:t>
            </w:r>
          </w:p>
        </w:tc>
        <w:tc>
          <w:tcPr>
            <w:tcW w:w="870" w:type="dxa"/>
            <w:vAlign w:val="center"/>
          </w:tcPr>
          <w:p w14:paraId="58396B84">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海原县龙源新能源有限公司</w:t>
            </w:r>
          </w:p>
        </w:tc>
        <w:tc>
          <w:tcPr>
            <w:tcW w:w="1290" w:type="dxa"/>
            <w:vAlign w:val="center"/>
          </w:tcPr>
          <w:p w14:paraId="7F22E9C9">
            <w:pPr>
              <w:jc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众旺达（宁夏）技术咨询有限公司</w:t>
            </w:r>
          </w:p>
        </w:tc>
        <w:tc>
          <w:tcPr>
            <w:tcW w:w="2835" w:type="dxa"/>
            <w:vAlign w:val="center"/>
          </w:tcPr>
          <w:p w14:paraId="41EE78AC">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“宁湘直流”配套新能源基地海原 100 万千瓦风电项目规划总装机容量为 1000MW，共布置 150 台 6.67MW 风电机组其中，地块一布置 71台风机，地块二布置52台风机，地块三布置27台风机。按照一机一变设计，变压器数量为150台，本期风电场箱变选用华式箱变，箱变内变压器选用油浸式三相双卷自冷式升压变压器。</w:t>
            </w:r>
          </w:p>
        </w:tc>
        <w:tc>
          <w:tcPr>
            <w:tcW w:w="7620" w:type="dxa"/>
            <w:vAlign w:val="center"/>
          </w:tcPr>
          <w:p w14:paraId="711C2569">
            <w:pPr>
              <w:ind w:firstLine="480" w:firstLineChars="200"/>
              <w:jc w:val="left"/>
              <w:rPr>
                <w:rFonts w:hint="eastAsia" w:ascii="仿宋_GB2312" w:hAnsi="仿宋_GB2312" w:eastAsia="仿宋_GB2312" w:cs="仿宋_GB2312"/>
                <w:color w:val="auto"/>
                <w:kern w:val="2"/>
                <w:sz w:val="24"/>
                <w:szCs w:val="24"/>
                <w:lang w:val="en-US" w:eastAsia="zh-CN" w:bidi="ar-SA"/>
              </w:rPr>
            </w:pPr>
            <w:bookmarkStart w:id="0" w:name="_GoBack"/>
            <w:bookmarkEnd w:id="0"/>
            <w:r>
              <w:rPr>
                <w:rFonts w:hint="eastAsia" w:ascii="仿宋_GB2312" w:hAnsi="仿宋_GB2312" w:eastAsia="仿宋_GB2312" w:cs="仿宋_GB2312"/>
                <w:color w:val="auto"/>
                <w:kern w:val="2"/>
                <w:sz w:val="24"/>
                <w:szCs w:val="24"/>
                <w:lang w:val="en-US" w:eastAsia="zh-CN" w:bidi="ar-SA"/>
              </w:rPr>
              <w:t>施工期环境影响及措施：对土地利用的影响：造成局部地形的变化、土壤结构发生变化、植被受到扰动和破坏、土地类型的改变；对农田生态系统影响：本项目永久占地占用灌木林地、天然牧草地、其他草地（风机和箱式变压器占地），风机基础开挖、箱式变压器基础开挖及人员活动应避开农作物生长期，尽量在淡季进行施工；对植被影响：临时占地会破坏地表植被，造成植株数量减少、植被覆盖度降低、植被生产力下降，从而使草原群落的生物多样性降低。永久占地会长时间破坏地表植被，施工方式不同，对植被也有不同程度的破坏；对野生动物影响：工程活动对鸟类的影响、对爬行动物的影响、对兽类的影响；对土壤的影响：加剧土壤侵蚀、改变土壤性质；对生物多样性的影响：本项目涉及清除的植被及影响的植物种类数量极微，对本工程经过地区的生态多样性不会造成影响；本项目建设区域不涉及鸟类繁殖地、越冬地、夜宿地等，对鸟类影响较小；本区域不在鸟类迁徙通道上，因此对迁徙鸟类影响较小；本项目充分考虑了周边环境敏感区的分布，避让了自然保护区、风景名胜区、生态保护红线等环境敏感区；在保护减缓方面，施工过程中采取了限定施工范围、铺设下垫等措施，尽量减轻对植被的破坏；在恢复方面，施工结束后将对临时占地进行植被恢复，确保项目建设对生态影响的程度降至最小；生态影响的避免就是采取适当的措施，如更改项目选址、工程设计、施工方案、变更项目规模等，尽可能在最大程度上避免项目造成的不利影响，为降低对区域植被资源的破坏，在施工期采取了多项生态保护措施以及加强施工管理、保证工程质量等，以缓解对植被资源的破坏，并使局部地段的生态环境向有利的方面转化，达到既发展经济，又保护生态的目的；植被恢复措施：在允许条件下应将开挖表土单独保存，待工程施工结束后再用于临时用地区植被恢复，建设项目施工结束后，应立即进行植被恢复，依据工程设计方案对建设范围内进行全方位的植被恢复，以乡土树种为主，采用乔灌草结合方式进行植被恢复。对弃土场临时用地等区域进行人工撒播灌草种子促进植被恢复。加强项目后期的生态抚育与管理，保障受损植物以及恢复植被的成活与生态效果，明确作业区范围，各种施工活动应严格控制在施工红线内，尽量减少扰动面积；施工范围严格控制在施工场地内，高噪声设备施工时须采取有效的降噪措施，减少对周围动物的影响；主体设计对弃土区、风机基础、箱变基础占地范围内部分可剥离表土进行剥离，剥离表土采取就近集中堆放，后期用于覆土绿化，表土回覆可以有利于植物快速生长，根据主体设计，施工结束后，对弃土区占地进行土地整治。整地方式为机械结合人工土地整治，机械翻地松土，施工方式采用人工施农家肥，整地深度30cm，弃土区占地为天然牧草地、其他草地、裸土地、农村道路，施工结束后进行栽植扁穗冰草和紫花苜蓿等恢复生态。施工场地设置尽量避让植被覆盖度较高的区域，避开动物、爬行类动物及小型哺乳类动物的栖息地，施工应采用低噪声机械，尽可能避免所有机械车辆同时运转，降低声波干扰，对无法避免或者无法降低的，应选择在对动物影响最小的时段进行，工程施工结束后尽快做好周边生态环境的恢复工作，适当弥补生境破坏对野生动物造成的不利影响。</w:t>
            </w:r>
          </w:p>
          <w:p w14:paraId="0A92CEFE">
            <w:pPr>
              <w:ind w:firstLine="480" w:firstLineChars="2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运营期环境影响及措施：工程对临时占地风机基础和箱变基础占地进行植被恢复，对风电机组区以及检修道路两侧实施植被恢复和绿化工程，运营期地表植被状况逐渐好转，施工结束3年左右时间后，植被状况将好于原有的自然植被系统，因此项目施工期对占地范围内植被影响较小；对野生动物活动的阻隔影响、风机噪声对野生动物的影响；当风力机安装在鸟类飞行的通道上，将发生鸟类在飞行过程中撞上运行的叶轮而死亡的现象，尤其当风机安装在鸟类活动的频繁的地区；风场运营期对留鸟的影响主要表现在风机的运行噪声及叶片旋转气流等方面；运营后，永久性占地将使原有灌木林地、天然牧草地、其他草地变为生产用地，施工期占地区开挖、施工场地平整、施工道路建设等扰动地表，造成大面积的土壤裸露，受雨水冲击时易造成水土流失，将对梯田、山地及其生境造成不利影响。运行单位须设环境管理部门，配备相应的环境管理人员以不少于1人为宜，环境管理人员应在各自的岗位责任制中明确所负的环保责任。监督国家法规、条例的贯彻执行情况，制订和贯彻环保管理制度，监控本项目主要污染源，对各部门、操作岗位进行环境保护监督和管理。运营期对噪声和生态进行自行监测。</w:t>
            </w:r>
          </w:p>
          <w:p w14:paraId="12E57E76">
            <w:pPr>
              <w:pStyle w:val="2"/>
              <w:rPr>
                <w:rFonts w:hint="default"/>
                <w:lang w:val="en-US" w:eastAsia="zh-CN"/>
              </w:rPr>
            </w:pPr>
          </w:p>
        </w:tc>
      </w:tr>
    </w:tbl>
    <w:p w14:paraId="5BEB92F9">
      <w:pPr>
        <w:pStyle w:val="15"/>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MTZiZWEwZTRlMTBkMjA3MjFmZmE1NjgxZWU5ZDY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5073652"/>
    <w:rsid w:val="274026F8"/>
    <w:rsid w:val="27A96F47"/>
    <w:rsid w:val="2AE84B5C"/>
    <w:rsid w:val="2B054E4E"/>
    <w:rsid w:val="2C7D0568"/>
    <w:rsid w:val="2E7203C8"/>
    <w:rsid w:val="2F2C7572"/>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CC00090"/>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5B193B"/>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Normal Indent"/>
    <w:basedOn w:val="1"/>
    <w:next w:val="4"/>
    <w:unhideWhenUsed/>
    <w:qFormat/>
    <w:uiPriority w:val="0"/>
    <w:pPr>
      <w:ind w:firstLine="420" w:firstLineChars="200"/>
    </w:pPr>
  </w:style>
  <w:style w:type="paragraph" w:customStyle="1" w:styleId="4">
    <w:name w:val="正文1"/>
    <w:basedOn w:val="1"/>
    <w:next w:val="1"/>
    <w:qFormat/>
    <w:uiPriority w:val="0"/>
    <w:pPr>
      <w:spacing w:line="360" w:lineRule="auto"/>
      <w:ind w:firstLine="480" w:firstLineChars="200"/>
    </w:pPr>
    <w:rPr>
      <w:kern w:val="0"/>
      <w:sz w:val="20"/>
      <w:szCs w:val="20"/>
    </w:rPr>
  </w:style>
  <w:style w:type="paragraph" w:styleId="5">
    <w:name w:val="Body Text"/>
    <w:basedOn w:val="1"/>
    <w:next w:val="6"/>
    <w:qFormat/>
    <w:uiPriority w:val="0"/>
    <w:pPr>
      <w:spacing w:line="520" w:lineRule="exact"/>
      <w:ind w:firstLine="200" w:firstLineChars="200"/>
    </w:pPr>
    <w:rPr>
      <w:sz w:val="28"/>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index heading"/>
    <w:basedOn w:val="1"/>
    <w:next w:val="9"/>
    <w:qFormat/>
    <w:uiPriority w:val="0"/>
    <w:rPr>
      <w:rFonts w:ascii="Arial" w:hAnsi="Arial"/>
      <w:b/>
    </w:rPr>
  </w:style>
  <w:style w:type="paragraph" w:styleId="9">
    <w:name w:val="index 1"/>
    <w:basedOn w:val="1"/>
    <w:next w:val="1"/>
    <w:qFormat/>
    <w:uiPriority w:val="0"/>
    <w:pPr>
      <w:adjustRightInd w:val="0"/>
      <w:spacing w:line="240" w:lineRule="atLeast"/>
      <w:jc w:val="center"/>
      <w:textAlignment w:val="baseline"/>
    </w:pPr>
    <w:rPr>
      <w:rFonts w:ascii="宋体" w:hAnsi="宋体"/>
      <w:kern w:val="0"/>
    </w:rPr>
  </w:style>
  <w:style w:type="paragraph" w:styleId="10">
    <w:name w:val="Body Text First Indent 2"/>
    <w:basedOn w:val="1"/>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章标题"/>
    <w:next w:val="15"/>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6">
    <w:name w:val="Default"/>
    <w:basedOn w:val="1"/>
    <w:next w:val="8"/>
    <w:qFormat/>
    <w:uiPriority w:val="0"/>
    <w:pPr>
      <w:autoSpaceDE w:val="0"/>
      <w:autoSpaceDN w:val="0"/>
      <w:adjustRightInd w:val="0"/>
      <w:jc w:val="left"/>
    </w:pPr>
    <w:rPr>
      <w:rFonts w:hint="eastAsia" w:ascii="宋体"/>
      <w:color w:val="000000"/>
      <w:kern w:val="0"/>
      <w:sz w:val="24"/>
    </w:rPr>
  </w:style>
  <w:style w:type="paragraph" w:customStyle="1" w:styleId="17">
    <w:name w:val="正文（缩进）"/>
    <w:basedOn w:val="18"/>
    <w:next w:val="1"/>
    <w:qFormat/>
    <w:uiPriority w:val="99"/>
    <w:pPr>
      <w:tabs>
        <w:tab w:val="left" w:pos="4584"/>
      </w:tabs>
      <w:spacing w:line="360" w:lineRule="auto"/>
      <w:ind w:firstLine="480" w:firstLineChars="200"/>
    </w:pPr>
    <w:rPr>
      <w:sz w:val="24"/>
    </w:rPr>
  </w:style>
  <w:style w:type="paragraph" w:customStyle="1" w:styleId="18">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 w:type="paragraph" w:customStyle="1" w:styleId="19">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2107</Words>
  <Characters>2133</Characters>
  <Lines>6</Lines>
  <Paragraphs>1</Paragraphs>
  <TotalTime>3</TotalTime>
  <ScaleCrop>false</ScaleCrop>
  <LinksUpToDate>false</LinksUpToDate>
  <CharactersWithSpaces>2141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2021-01-14T05:57:00Z</dcterms:created>
  <dc:creator>Administrator</dc:creator>
  <cp:lastModifiedBy>铃铛</cp:lastModifiedBy>
  <cp:lastPrinted>2024-08-09T00:50:11Z</cp:lastPrinted>
  <dcterms:modified xsi:type="dcterms:W3CDTF">2024-08-09T00:50:38Z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97BCA0FE16314C60B4912999410F4A71_13</vt:lpwstr>
  </property>
</Properties>
</file>