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color w:val="292929"/>
          <w:kern w:val="0"/>
          <w:sz w:val="36"/>
          <w:szCs w:val="36"/>
        </w:rPr>
      </w:pPr>
      <w:r>
        <w:rPr>
          <w:rFonts w:hint="eastAsia" w:ascii="方正小标宋_GBK" w:hAnsi="方正小标宋_GBK" w:eastAsia="方正小标宋_GBK" w:cs="方正小标宋_GBK"/>
          <w:color w:val="292929"/>
          <w:kern w:val="0"/>
          <w:sz w:val="36"/>
          <w:szCs w:val="36"/>
        </w:rPr>
        <w:t>建设项目环境影响评价文件拟进行审查审批的公示</w:t>
      </w:r>
    </w:p>
    <w:tbl>
      <w:tblPr>
        <w:tblStyle w:val="11"/>
        <w:tblpPr w:leftFromText="180" w:rightFromText="180" w:vertAnchor="text" w:horzAnchor="page" w:tblpX="981" w:tblpY="59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745"/>
        <w:gridCol w:w="765"/>
        <w:gridCol w:w="810"/>
        <w:gridCol w:w="1275"/>
        <w:gridCol w:w="2295"/>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3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74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项目</w:t>
            </w:r>
            <w:bookmarkStart w:id="0" w:name="_GoBack"/>
            <w:bookmarkEnd w:id="0"/>
            <w:r>
              <w:rPr>
                <w:rFonts w:hint="eastAsia" w:ascii="仿宋" w:hAnsi="仿宋" w:eastAsia="仿宋" w:cs="仿宋"/>
                <w:b/>
                <w:bCs/>
                <w:sz w:val="24"/>
                <w:szCs w:val="24"/>
              </w:rPr>
              <w:t>名称</w:t>
            </w:r>
          </w:p>
        </w:tc>
        <w:tc>
          <w:tcPr>
            <w:tcW w:w="76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建设地点</w:t>
            </w:r>
          </w:p>
        </w:tc>
        <w:tc>
          <w:tcPr>
            <w:tcW w:w="810"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建设单位</w:t>
            </w:r>
          </w:p>
        </w:tc>
        <w:tc>
          <w:tcPr>
            <w:tcW w:w="12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环境影响评价机构</w:t>
            </w:r>
          </w:p>
        </w:tc>
        <w:tc>
          <w:tcPr>
            <w:tcW w:w="229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建设项目概况</w:t>
            </w:r>
          </w:p>
        </w:tc>
        <w:tc>
          <w:tcPr>
            <w:tcW w:w="8490"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375" w:type="dxa"/>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w:t>
            </w:r>
          </w:p>
        </w:tc>
        <w:tc>
          <w:tcPr>
            <w:tcW w:w="74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海原县杨坊河治理工程</w:t>
            </w:r>
          </w:p>
        </w:tc>
        <w:tc>
          <w:tcPr>
            <w:tcW w:w="76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海原县史店乡</w:t>
            </w:r>
          </w:p>
        </w:tc>
        <w:tc>
          <w:tcPr>
            <w:tcW w:w="81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海原县水务局</w:t>
            </w:r>
          </w:p>
        </w:tc>
        <w:tc>
          <w:tcPr>
            <w:tcW w:w="1275" w:type="dxa"/>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宁夏卓然工程科技有限公司</w:t>
            </w:r>
          </w:p>
        </w:tc>
        <w:tc>
          <w:tcPr>
            <w:tcW w:w="2295" w:type="dxa"/>
            <w:vAlign w:val="center"/>
          </w:tcPr>
          <w:p>
            <w:pPr>
              <w:keepNext w:val="0"/>
              <w:keepLines w:val="0"/>
              <w:pageBreakBefore w:val="0"/>
              <w:widowControl w:val="0"/>
              <w:kinsoku/>
              <w:wordWrap/>
              <w:overflowPunct/>
              <w:topLinePunct w:val="0"/>
              <w:autoSpaceDE/>
              <w:autoSpaceDN/>
              <w:bidi w:val="0"/>
              <w:adjustRightInd w:val="0"/>
              <w:snapToGrid/>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项目杨坊河治理段起始于史店乡政府，至西套水库上游1.1km处结束（桩号K0+000m～K24+420m），设计治理总长24.4km（桩号0+000~24+420）。</w:t>
            </w:r>
          </w:p>
          <w:p>
            <w:pPr>
              <w:keepNext w:val="0"/>
              <w:keepLines w:val="0"/>
              <w:pageBreakBefore w:val="0"/>
              <w:widowControl w:val="0"/>
              <w:kinsoku/>
              <w:wordWrap/>
              <w:overflowPunct/>
              <w:topLinePunct w:val="0"/>
              <w:autoSpaceDE/>
              <w:autoSpaceDN/>
              <w:bidi w:val="0"/>
              <w:adjustRightInd w:val="0"/>
              <w:snapToGrid/>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主要建设内容为：沟道砌护长5.89km；新建过水路面4座，路面宽5m；新建1座液压坝、管理房1座，建筑面积40m</w:t>
            </w:r>
            <w:r>
              <w:rPr>
                <w:rFonts w:hint="default" w:ascii="Times New Roman" w:hAnsi="Times New Roman" w:eastAsia="仿宋_GB2312" w:cs="Times New Roman"/>
                <w:color w:val="auto"/>
                <w:kern w:val="2"/>
                <w:sz w:val="24"/>
                <w:szCs w:val="24"/>
                <w:vertAlign w:val="superscript"/>
                <w:lang w:val="en-US" w:eastAsia="zh-CN" w:bidi="ar-SA"/>
              </w:rPr>
              <w:t>2</w:t>
            </w:r>
            <w:r>
              <w:rPr>
                <w:rFonts w:hint="default" w:ascii="Times New Roman" w:hAnsi="Times New Roman" w:eastAsia="仿宋_GB2312" w:cs="Times New Roman"/>
                <w:color w:val="auto"/>
                <w:kern w:val="2"/>
                <w:sz w:val="24"/>
                <w:szCs w:val="24"/>
                <w:lang w:val="en-US" w:eastAsia="zh-CN" w:bidi="ar-SA"/>
              </w:rPr>
              <w:t>；新建0.4m×0.4m引水闸一座，配套矩形钢筋混凝土引水渠275m；新建巡护道路6.45km，砂砾石路面宽4m；架设10kV输变电线路1.0km，配套S13-M-50/10/0.4变压器1台、液压系统及其他电器设备</w:t>
            </w:r>
            <w:r>
              <w:rPr>
                <w:rFonts w:hint="eastAsia" w:ascii="Times New Roman" w:hAnsi="Times New Roman" w:eastAsia="仿宋_GB2312" w:cs="Times New Roman"/>
                <w:color w:val="auto"/>
                <w:kern w:val="2"/>
                <w:sz w:val="24"/>
                <w:szCs w:val="24"/>
                <w:lang w:val="en-US" w:eastAsia="zh-CN" w:bidi="ar-SA"/>
              </w:rPr>
              <w:t>。</w:t>
            </w:r>
          </w:p>
        </w:tc>
        <w:tc>
          <w:tcPr>
            <w:tcW w:w="8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本工程属于生态影响为主的建设项目，对环境的影响主要表现在施工期，运营期不产生废气、废水、噪声和固体废物等。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⑴生态环境影响恢复措施</w:t>
            </w:r>
            <w:r>
              <w:rPr>
                <w:rFonts w:hint="eastAsia" w:ascii="仿宋_GB2312" w:hAnsi="仿宋_GB2312" w:eastAsia="仿宋_GB2312" w:cs="仿宋_GB2312"/>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①合理安排工期；严格控制工程动土范围、严禁越界施工；边施工边恢复；施工结束后，进行现场清理，切实落实各项生态恢复措施；加强对工作人员生态环境保护意识的教育，加强管理。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②施工前建设单位应依法申请并办理用地手续，根据工程占地情况，配合其他有关部门做好占地补偿工作；施工前对表土进行剥离，剥离的表土分层堆放，并采取遮盖、洒水等措施，待施工结束后，进行回填和植被恢复。</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③施工废水经沉淀后洒水抑尘，不得随意排放；设立有效地废水拦挡措施，防止施工废水进入水体，；进行生态环境保护宣传教育，提高施工人员生态环境保护意识；施工结束后，及时清理施工现场，最大程度地恢复水生生物原有的生境。</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④施工结束后拆除临时施工生产区，对临时占地进行土地平整，采用绿化方式恢复植被，播撒草籽，使临时施工占地植被覆盖度至少恢复到原有水平。</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⑵废气</w:t>
            </w:r>
            <w:r>
              <w:rPr>
                <w:rFonts w:hint="eastAsia" w:ascii="仿宋_GB2312" w:hAnsi="仿宋_GB2312" w:eastAsia="仿宋_GB2312" w:cs="仿宋_GB2312"/>
                <w:color w:val="auto"/>
                <w:kern w:val="2"/>
                <w:sz w:val="24"/>
                <w:szCs w:val="24"/>
                <w:lang w:val="en-US" w:eastAsia="zh-CN" w:bidi="ar-SA"/>
              </w:rPr>
              <w:t>污染</w:t>
            </w:r>
            <w:r>
              <w:rPr>
                <w:rFonts w:hint="default" w:ascii="仿宋_GB2312" w:hAnsi="仿宋_GB2312" w:eastAsia="仿宋_GB2312" w:cs="仿宋_GB2312"/>
                <w:color w:val="auto"/>
                <w:kern w:val="2"/>
                <w:sz w:val="24"/>
                <w:szCs w:val="24"/>
                <w:lang w:val="en-US" w:eastAsia="zh-CN" w:bidi="ar-SA"/>
              </w:rPr>
              <w:t>防治措施：施工避开大风天气</w:t>
            </w:r>
            <w:r>
              <w:rPr>
                <w:rFonts w:hint="eastAsia" w:ascii="仿宋_GB2312" w:hAnsi="仿宋_GB2312" w:eastAsia="仿宋_GB2312" w:cs="仿宋_GB2312"/>
                <w:color w:val="auto"/>
                <w:kern w:val="2"/>
                <w:sz w:val="24"/>
                <w:szCs w:val="24"/>
                <w:lang w:val="en-US" w:eastAsia="zh-CN" w:bidi="ar-SA"/>
              </w:rPr>
              <w:t>，</w:t>
            </w:r>
            <w:r>
              <w:rPr>
                <w:rFonts w:hint="default" w:ascii="仿宋_GB2312" w:hAnsi="仿宋_GB2312" w:eastAsia="仿宋_GB2312" w:cs="仿宋_GB2312"/>
                <w:color w:val="auto"/>
                <w:kern w:val="2"/>
                <w:sz w:val="24"/>
                <w:szCs w:val="24"/>
                <w:lang w:val="en-US" w:eastAsia="zh-CN" w:bidi="ar-SA"/>
              </w:rPr>
              <w:t>运输道路</w:t>
            </w:r>
            <w:r>
              <w:rPr>
                <w:rFonts w:hint="eastAsia" w:ascii="仿宋_GB2312" w:hAnsi="仿宋_GB2312" w:eastAsia="仿宋_GB2312" w:cs="仿宋_GB2312"/>
                <w:color w:val="auto"/>
                <w:kern w:val="2"/>
                <w:sz w:val="24"/>
                <w:szCs w:val="24"/>
                <w:lang w:val="en-US" w:eastAsia="zh-CN" w:bidi="ar-SA"/>
              </w:rPr>
              <w:t>及施工现场</w:t>
            </w:r>
            <w:r>
              <w:rPr>
                <w:rFonts w:hint="default" w:ascii="仿宋_GB2312" w:hAnsi="仿宋_GB2312" w:eastAsia="仿宋_GB2312" w:cs="仿宋_GB2312"/>
                <w:color w:val="auto"/>
                <w:kern w:val="2"/>
                <w:sz w:val="24"/>
                <w:szCs w:val="24"/>
                <w:lang w:val="en-US" w:eastAsia="zh-CN" w:bidi="ar-SA"/>
              </w:rPr>
              <w:t>及时洒水；</w:t>
            </w:r>
            <w:r>
              <w:rPr>
                <w:rFonts w:hint="eastAsia" w:ascii="仿宋_GB2312" w:hAnsi="仿宋_GB2312" w:eastAsia="仿宋_GB2312" w:cs="仿宋_GB2312"/>
                <w:color w:val="auto"/>
                <w:kern w:val="2"/>
                <w:sz w:val="24"/>
                <w:szCs w:val="24"/>
                <w:lang w:val="en-US" w:eastAsia="zh-CN" w:bidi="ar-SA"/>
              </w:rPr>
              <w:t>施工现场</w:t>
            </w:r>
            <w:r>
              <w:rPr>
                <w:rFonts w:hint="default" w:ascii="仿宋_GB2312" w:hAnsi="仿宋_GB2312" w:eastAsia="仿宋_GB2312" w:cs="仿宋_GB2312"/>
                <w:color w:val="auto"/>
                <w:kern w:val="2"/>
                <w:sz w:val="24"/>
                <w:szCs w:val="24"/>
                <w:lang w:val="en-US" w:eastAsia="zh-CN" w:bidi="ar-SA"/>
              </w:rPr>
              <w:t>设置围挡</w:t>
            </w:r>
            <w:r>
              <w:rPr>
                <w:rFonts w:hint="eastAsia" w:ascii="仿宋_GB2312" w:hAnsi="仿宋_GB2312" w:eastAsia="仿宋_GB2312" w:cs="仿宋_GB2312"/>
                <w:color w:val="auto"/>
                <w:kern w:val="2"/>
                <w:sz w:val="24"/>
                <w:szCs w:val="24"/>
                <w:lang w:val="en-US" w:eastAsia="zh-CN" w:bidi="ar-SA"/>
              </w:rPr>
              <w:t>；</w:t>
            </w:r>
            <w:r>
              <w:rPr>
                <w:rFonts w:hint="default" w:ascii="仿宋_GB2312" w:hAnsi="仿宋_GB2312" w:eastAsia="仿宋_GB2312" w:cs="仿宋_GB2312"/>
                <w:color w:val="auto"/>
                <w:kern w:val="2"/>
                <w:sz w:val="24"/>
                <w:szCs w:val="24"/>
                <w:lang w:val="en-US" w:eastAsia="zh-CN" w:bidi="ar-SA"/>
              </w:rPr>
              <w:t>运输车辆在出入施工场地时，对车辆轮胎进行冲洗</w:t>
            </w:r>
            <w:r>
              <w:rPr>
                <w:rFonts w:hint="eastAsia" w:ascii="仿宋_GB2312" w:hAnsi="仿宋_GB2312" w:eastAsia="仿宋_GB2312" w:cs="仿宋_GB2312"/>
                <w:color w:val="auto"/>
                <w:kern w:val="2"/>
                <w:sz w:val="24"/>
                <w:szCs w:val="24"/>
                <w:lang w:val="en-US" w:eastAsia="zh-CN" w:bidi="ar-SA"/>
              </w:rPr>
              <w:t>；</w:t>
            </w:r>
            <w:r>
              <w:rPr>
                <w:rFonts w:hint="default" w:ascii="仿宋_GB2312" w:hAnsi="仿宋_GB2312" w:eastAsia="仿宋_GB2312" w:cs="仿宋_GB2312"/>
                <w:color w:val="auto"/>
                <w:kern w:val="2"/>
                <w:sz w:val="24"/>
                <w:szCs w:val="24"/>
                <w:lang w:val="en-US" w:eastAsia="zh-CN" w:bidi="ar-SA"/>
              </w:rPr>
              <w:t>运输车辆采取遮盖、密闭措施</w:t>
            </w:r>
            <w:r>
              <w:rPr>
                <w:rFonts w:hint="eastAsia" w:ascii="仿宋_GB2312" w:hAnsi="仿宋_GB2312" w:eastAsia="仿宋_GB2312" w:cs="仿宋_GB2312"/>
                <w:color w:val="auto"/>
                <w:kern w:val="2"/>
                <w:sz w:val="24"/>
                <w:szCs w:val="24"/>
                <w:lang w:val="en-US" w:eastAsia="zh-CN" w:bidi="ar-SA"/>
              </w:rPr>
              <w:t>；严格</w:t>
            </w:r>
            <w:r>
              <w:rPr>
                <w:rFonts w:hint="default" w:ascii="仿宋_GB2312" w:hAnsi="仿宋_GB2312" w:eastAsia="仿宋_GB2312" w:cs="仿宋_GB2312"/>
                <w:color w:val="auto"/>
                <w:kern w:val="2"/>
                <w:sz w:val="24"/>
                <w:szCs w:val="24"/>
                <w:lang w:val="en-US" w:eastAsia="zh-CN" w:bidi="ar-SA"/>
              </w:rPr>
              <w:t>落实“六个百分百”防尘措施</w:t>
            </w:r>
            <w:r>
              <w:rPr>
                <w:rFonts w:hint="eastAsia" w:ascii="仿宋_GB2312" w:hAnsi="仿宋_GB2312" w:eastAsia="仿宋_GB2312" w:cs="仿宋_GB2312"/>
                <w:color w:val="auto"/>
                <w:kern w:val="2"/>
                <w:sz w:val="24"/>
                <w:szCs w:val="24"/>
                <w:lang w:val="en-US" w:eastAsia="zh-CN" w:bidi="ar-SA"/>
              </w:rPr>
              <w:t>；</w:t>
            </w:r>
            <w:r>
              <w:rPr>
                <w:rFonts w:hint="default" w:ascii="仿宋_GB2312" w:hAnsi="仿宋_GB2312" w:eastAsia="仿宋_GB2312" w:cs="仿宋_GB2312"/>
                <w:color w:val="auto"/>
                <w:kern w:val="2"/>
                <w:sz w:val="24"/>
                <w:szCs w:val="24"/>
                <w:lang w:val="en-US" w:eastAsia="zh-CN" w:bidi="ar-SA"/>
              </w:rPr>
              <w:t>加强施工机械的使用管理和保养维修</w:t>
            </w:r>
            <w:r>
              <w:rPr>
                <w:rFonts w:hint="eastAsia" w:ascii="仿宋_GB2312" w:hAnsi="仿宋_GB2312" w:eastAsia="仿宋_GB2312" w:cs="仿宋_GB2312"/>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⑶废水</w:t>
            </w:r>
            <w:r>
              <w:rPr>
                <w:rFonts w:hint="eastAsia" w:ascii="仿宋_GB2312" w:hAnsi="仿宋_GB2312" w:eastAsia="仿宋_GB2312" w:cs="仿宋_GB2312"/>
                <w:color w:val="auto"/>
                <w:kern w:val="2"/>
                <w:sz w:val="24"/>
                <w:szCs w:val="24"/>
                <w:lang w:val="en-US" w:eastAsia="zh-CN" w:bidi="ar-SA"/>
              </w:rPr>
              <w:t>污染</w:t>
            </w:r>
            <w:r>
              <w:rPr>
                <w:rFonts w:hint="default" w:ascii="仿宋_GB2312" w:hAnsi="仿宋_GB2312" w:eastAsia="仿宋_GB2312" w:cs="仿宋_GB2312"/>
                <w:color w:val="auto"/>
                <w:kern w:val="2"/>
                <w:sz w:val="24"/>
                <w:szCs w:val="24"/>
                <w:lang w:val="en-US" w:eastAsia="zh-CN" w:bidi="ar-SA"/>
              </w:rPr>
              <w:t>防治措施</w:t>
            </w:r>
            <w:r>
              <w:rPr>
                <w:rFonts w:hint="eastAsia" w:ascii="仿宋_GB2312" w:hAnsi="仿宋_GB2312" w:eastAsia="仿宋_GB2312" w:cs="仿宋_GB2312"/>
                <w:color w:val="auto"/>
                <w:kern w:val="2"/>
                <w:sz w:val="24"/>
                <w:szCs w:val="24"/>
                <w:lang w:val="en-US" w:eastAsia="zh-CN" w:bidi="ar-SA"/>
              </w:rPr>
              <w:t>：施工场地内不设置施工营地。施工初期通过布设排水明沟、集水井，利用水泵将基坑内水引至两侧河道；施工废水经沉淀处理后用于施工现场洒水抑尘。</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⑷噪声</w:t>
            </w:r>
            <w:r>
              <w:rPr>
                <w:rFonts w:hint="eastAsia" w:ascii="仿宋_GB2312" w:hAnsi="仿宋_GB2312" w:eastAsia="仿宋_GB2312" w:cs="仿宋_GB2312"/>
                <w:color w:val="auto"/>
                <w:kern w:val="2"/>
                <w:sz w:val="24"/>
                <w:szCs w:val="24"/>
                <w:lang w:val="en-US" w:eastAsia="zh-CN" w:bidi="ar-SA"/>
              </w:rPr>
              <w:t>污染</w:t>
            </w:r>
            <w:r>
              <w:rPr>
                <w:rFonts w:hint="default" w:ascii="仿宋_GB2312" w:hAnsi="仿宋_GB2312" w:eastAsia="仿宋_GB2312" w:cs="仿宋_GB2312"/>
                <w:color w:val="auto"/>
                <w:kern w:val="2"/>
                <w:sz w:val="24"/>
                <w:szCs w:val="24"/>
                <w:lang w:val="en-US" w:eastAsia="zh-CN" w:bidi="ar-SA"/>
              </w:rPr>
              <w:t>防治措施</w:t>
            </w:r>
            <w:r>
              <w:rPr>
                <w:rFonts w:hint="eastAsia" w:ascii="仿宋_GB2312" w:hAnsi="仿宋_GB2312" w:eastAsia="仿宋_GB2312" w:cs="仿宋_GB2312"/>
                <w:color w:val="auto"/>
                <w:kern w:val="2"/>
                <w:sz w:val="24"/>
                <w:szCs w:val="24"/>
                <w:lang w:val="en-US" w:eastAsia="zh-CN" w:bidi="ar-SA"/>
              </w:rPr>
              <w:t>：合理安排施工，加强管理；选用低噪设备，加强降噪措施；施工高噪声设备和进出施工场地的临时道路应尽量远离声环境敏感点；离村镇较近的施工路段设置警示牌；加强各类机械设备和车辆的维护和保养。</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⑸固体废物污染</w:t>
            </w:r>
            <w:r>
              <w:rPr>
                <w:rFonts w:hint="default" w:ascii="仿宋_GB2312" w:hAnsi="仿宋_GB2312" w:eastAsia="仿宋_GB2312" w:cs="仿宋_GB2312"/>
                <w:color w:val="auto"/>
                <w:kern w:val="2"/>
                <w:sz w:val="24"/>
                <w:szCs w:val="24"/>
                <w:lang w:val="en-US" w:eastAsia="zh-CN" w:bidi="ar-SA"/>
              </w:rPr>
              <w:t>防治措施</w:t>
            </w:r>
            <w:r>
              <w:rPr>
                <w:rFonts w:hint="eastAsia" w:ascii="仿宋_GB2312" w:hAnsi="仿宋_GB2312" w:eastAsia="仿宋_GB2312" w:cs="仿宋_GB2312"/>
                <w:color w:val="auto"/>
                <w:kern w:val="2"/>
                <w:sz w:val="24"/>
                <w:szCs w:val="24"/>
                <w:lang w:val="en-US" w:eastAsia="zh-CN" w:bidi="ar-SA"/>
              </w:rPr>
              <w:t>：多余土方回用于工程占地范围内低洼地段填平，无弃方；建筑垃圾回收利用，不能回收利用的送至当地政府指定地点；生活垃圾集中收集后交由环卫部门统一处置。</w:t>
            </w:r>
          </w:p>
        </w:tc>
      </w:tr>
    </w:tbl>
    <w:p>
      <w:pPr>
        <w:pStyle w:val="14"/>
        <w:ind w:firstLine="0" w:firstLineChars="0"/>
        <w:rPr>
          <w:rFonts w:hint="eastAsia" w:ascii="仿宋_GB2312" w:hAnsi="仿宋_GB2312" w:eastAsia="仿宋_GB2312" w:cs="仿宋_GB2312"/>
          <w:sz w:val="32"/>
          <w:szCs w:val="32"/>
        </w:rPr>
      </w:pPr>
    </w:p>
    <w:sectPr>
      <w:pgSz w:w="16838" w:h="11906" w:orient="landscape"/>
      <w:pgMar w:top="283" w:right="1100" w:bottom="283" w:left="93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jAzNTI5M2I3YWYxZmY5YzUyYWE5NzkyYjE5MzAifQ=="/>
  </w:docVars>
  <w:rsids>
    <w:rsidRoot w:val="080E7B1F"/>
    <w:rsid w:val="002B2BE2"/>
    <w:rsid w:val="00407B3D"/>
    <w:rsid w:val="00506CDD"/>
    <w:rsid w:val="0210321C"/>
    <w:rsid w:val="025666DE"/>
    <w:rsid w:val="041A4B69"/>
    <w:rsid w:val="04CB4029"/>
    <w:rsid w:val="07B60F75"/>
    <w:rsid w:val="07BD7601"/>
    <w:rsid w:val="080E7B1F"/>
    <w:rsid w:val="08A76EF7"/>
    <w:rsid w:val="08B44B57"/>
    <w:rsid w:val="095E72E0"/>
    <w:rsid w:val="0A745713"/>
    <w:rsid w:val="0ACB0F75"/>
    <w:rsid w:val="0B731EED"/>
    <w:rsid w:val="0D164F83"/>
    <w:rsid w:val="0E6226F7"/>
    <w:rsid w:val="0EB54ECC"/>
    <w:rsid w:val="0F872CE8"/>
    <w:rsid w:val="0F956B26"/>
    <w:rsid w:val="1059048B"/>
    <w:rsid w:val="11100073"/>
    <w:rsid w:val="1285750E"/>
    <w:rsid w:val="14A0682A"/>
    <w:rsid w:val="1564628A"/>
    <w:rsid w:val="15FA74E9"/>
    <w:rsid w:val="16804237"/>
    <w:rsid w:val="16FB0F92"/>
    <w:rsid w:val="1784188A"/>
    <w:rsid w:val="181E54C4"/>
    <w:rsid w:val="1B09140A"/>
    <w:rsid w:val="1B5843F4"/>
    <w:rsid w:val="1B972A0D"/>
    <w:rsid w:val="1BBE30B8"/>
    <w:rsid w:val="1FBD5958"/>
    <w:rsid w:val="1FD255CD"/>
    <w:rsid w:val="210C5746"/>
    <w:rsid w:val="24B369D8"/>
    <w:rsid w:val="274026F8"/>
    <w:rsid w:val="27A96F47"/>
    <w:rsid w:val="2AE84B5C"/>
    <w:rsid w:val="2B054E4E"/>
    <w:rsid w:val="2C7D0568"/>
    <w:rsid w:val="2E7203C8"/>
    <w:rsid w:val="2FAA64AB"/>
    <w:rsid w:val="30084612"/>
    <w:rsid w:val="311779D7"/>
    <w:rsid w:val="32992A21"/>
    <w:rsid w:val="32DE2F9B"/>
    <w:rsid w:val="331B2029"/>
    <w:rsid w:val="33A40956"/>
    <w:rsid w:val="348A6935"/>
    <w:rsid w:val="366F7121"/>
    <w:rsid w:val="375564CF"/>
    <w:rsid w:val="37F92B6D"/>
    <w:rsid w:val="3A8A0CF6"/>
    <w:rsid w:val="3B9A4CFB"/>
    <w:rsid w:val="3D5B56FC"/>
    <w:rsid w:val="3E6071EC"/>
    <w:rsid w:val="3F7A7718"/>
    <w:rsid w:val="3FEE324A"/>
    <w:rsid w:val="40283D99"/>
    <w:rsid w:val="4157311A"/>
    <w:rsid w:val="418D716C"/>
    <w:rsid w:val="41D3159C"/>
    <w:rsid w:val="422505D8"/>
    <w:rsid w:val="424E44C8"/>
    <w:rsid w:val="45552E54"/>
    <w:rsid w:val="45CD2A1A"/>
    <w:rsid w:val="46433569"/>
    <w:rsid w:val="47163DD9"/>
    <w:rsid w:val="480B3280"/>
    <w:rsid w:val="48EB6321"/>
    <w:rsid w:val="49721BE6"/>
    <w:rsid w:val="4E065115"/>
    <w:rsid w:val="4E146C4B"/>
    <w:rsid w:val="4EB242E9"/>
    <w:rsid w:val="4F7A7C5B"/>
    <w:rsid w:val="51A807E4"/>
    <w:rsid w:val="53CA2DA6"/>
    <w:rsid w:val="541C0D00"/>
    <w:rsid w:val="55C5563B"/>
    <w:rsid w:val="55CA5EB7"/>
    <w:rsid w:val="5614122C"/>
    <w:rsid w:val="568A3BF9"/>
    <w:rsid w:val="59314455"/>
    <w:rsid w:val="5BF70B72"/>
    <w:rsid w:val="5CA139A4"/>
    <w:rsid w:val="5E177132"/>
    <w:rsid w:val="60E05C0B"/>
    <w:rsid w:val="61512E34"/>
    <w:rsid w:val="631445C1"/>
    <w:rsid w:val="639B42E9"/>
    <w:rsid w:val="63B757A8"/>
    <w:rsid w:val="6584425F"/>
    <w:rsid w:val="65F73DC1"/>
    <w:rsid w:val="67436F2E"/>
    <w:rsid w:val="679E78B0"/>
    <w:rsid w:val="67B72A24"/>
    <w:rsid w:val="67D521D9"/>
    <w:rsid w:val="6831170C"/>
    <w:rsid w:val="686D054C"/>
    <w:rsid w:val="691A59EE"/>
    <w:rsid w:val="6A5817BE"/>
    <w:rsid w:val="6A864AC1"/>
    <w:rsid w:val="6ABC7372"/>
    <w:rsid w:val="6AD02EDB"/>
    <w:rsid w:val="6D244E36"/>
    <w:rsid w:val="6E7853B1"/>
    <w:rsid w:val="6FD8457F"/>
    <w:rsid w:val="7069615F"/>
    <w:rsid w:val="70A90B19"/>
    <w:rsid w:val="70AF0C51"/>
    <w:rsid w:val="73377338"/>
    <w:rsid w:val="74360436"/>
    <w:rsid w:val="74664BAC"/>
    <w:rsid w:val="756B742A"/>
    <w:rsid w:val="75B33643"/>
    <w:rsid w:val="764B09F2"/>
    <w:rsid w:val="77C25799"/>
    <w:rsid w:val="780B6871"/>
    <w:rsid w:val="78C755C4"/>
    <w:rsid w:val="7984105F"/>
    <w:rsid w:val="7A15435B"/>
    <w:rsid w:val="7AC42B6F"/>
    <w:rsid w:val="7CE643A1"/>
    <w:rsid w:val="7DD81BC4"/>
    <w:rsid w:val="7E146E60"/>
    <w:rsid w:val="7F1F6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unhideWhenUsed/>
    <w:qFormat/>
    <w:uiPriority w:val="0"/>
    <w:pPr>
      <w:ind w:firstLine="420" w:firstLineChars="200"/>
    </w:pPr>
  </w:style>
  <w:style w:type="paragraph" w:customStyle="1" w:styleId="3">
    <w:name w:val="正文1"/>
    <w:basedOn w:val="1"/>
    <w:next w:val="1"/>
    <w:autoRedefine/>
    <w:qFormat/>
    <w:uiPriority w:val="0"/>
    <w:pPr>
      <w:spacing w:line="360" w:lineRule="auto"/>
      <w:ind w:firstLine="480" w:firstLineChars="200"/>
    </w:pPr>
    <w:rPr>
      <w:kern w:val="0"/>
      <w:sz w:val="20"/>
      <w:szCs w:val="20"/>
    </w:rPr>
  </w:style>
  <w:style w:type="paragraph" w:styleId="4">
    <w:name w:val="Body Text"/>
    <w:basedOn w:val="1"/>
    <w:next w:val="5"/>
    <w:autoRedefine/>
    <w:qFormat/>
    <w:uiPriority w:val="0"/>
    <w:pPr>
      <w:spacing w:line="520" w:lineRule="exact"/>
      <w:ind w:firstLine="200" w:firstLineChars="200"/>
    </w:pPr>
    <w:rPr>
      <w:sz w:val="28"/>
    </w:rPr>
  </w:style>
  <w:style w:type="paragraph" w:customStyle="1" w:styleId="5">
    <w:name w:val="Date1"/>
    <w:basedOn w:val="1"/>
    <w:next w:val="1"/>
    <w:autoRedefine/>
    <w:qFormat/>
    <w:uiPriority w:val="0"/>
    <w:pPr>
      <w:adjustRightInd w:val="0"/>
      <w:jc w:val="left"/>
      <w:textAlignment w:val="baseline"/>
    </w:pPr>
    <w:rPr>
      <w:rFonts w:ascii="宋体" w:hAnsi="宋体"/>
      <w:sz w:val="28"/>
      <w:szCs w:val="20"/>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index heading"/>
    <w:basedOn w:val="1"/>
    <w:next w:val="8"/>
    <w:autoRedefine/>
    <w:qFormat/>
    <w:uiPriority w:val="0"/>
    <w:rPr>
      <w:rFonts w:ascii="Arial" w:hAnsi="Arial"/>
      <w:b/>
    </w:rPr>
  </w:style>
  <w:style w:type="paragraph" w:styleId="8">
    <w:name w:val="index 1"/>
    <w:basedOn w:val="1"/>
    <w:next w:val="1"/>
    <w:autoRedefine/>
    <w:qFormat/>
    <w:uiPriority w:val="0"/>
    <w:pPr>
      <w:adjustRightInd w:val="0"/>
      <w:spacing w:line="240" w:lineRule="atLeast"/>
      <w:jc w:val="center"/>
      <w:textAlignment w:val="baseline"/>
    </w:pPr>
    <w:rPr>
      <w:rFonts w:ascii="宋体" w:hAnsi="宋体"/>
      <w:kern w:val="0"/>
    </w:rPr>
  </w:style>
  <w:style w:type="paragraph" w:styleId="9">
    <w:name w:val="Body Text First Indent 2"/>
    <w:basedOn w:val="1"/>
    <w:next w:val="1"/>
    <w:autoRedefine/>
    <w:unhideWhenUsed/>
    <w:qFormat/>
    <w:uiPriority w:val="99"/>
    <w:pPr>
      <w:ind w:firstLine="420" w:firstLineChars="20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章标题"/>
    <w:next w:val="14"/>
    <w:autoRedefine/>
    <w:qFormat/>
    <w:uiPriority w:val="0"/>
    <w:pPr>
      <w:spacing w:beforeLines="100" w:afterLines="100" w:line="360" w:lineRule="auto"/>
      <w:ind w:firstLine="200" w:firstLineChars="200"/>
      <w:jc w:val="both"/>
      <w:outlineLvl w:val="1"/>
    </w:pPr>
    <w:rPr>
      <w:rFonts w:ascii="黑体" w:hAnsi="Calibri" w:eastAsia="黑体" w:cs="Times New Roman"/>
      <w:sz w:val="21"/>
      <w:szCs w:val="21"/>
      <w:lang w:val="en-US" w:eastAsia="zh-CN" w:bidi="ar-SA"/>
    </w:rPr>
  </w:style>
  <w:style w:type="paragraph" w:customStyle="1" w:styleId="14">
    <w:name w:val="段"/>
    <w:autoRedefine/>
    <w:qFormat/>
    <w:uiPriority w:val="0"/>
    <w:pPr>
      <w:tabs>
        <w:tab w:val="center" w:pos="4201"/>
        <w:tab w:val="right" w:leader="dot" w:pos="9298"/>
      </w:tabs>
      <w:autoSpaceDE w:val="0"/>
      <w:autoSpaceDN w:val="0"/>
      <w:spacing w:line="360" w:lineRule="auto"/>
      <w:ind w:firstLine="420" w:firstLineChars="200"/>
      <w:jc w:val="both"/>
    </w:pPr>
    <w:rPr>
      <w:rFonts w:ascii="宋体" w:hAnsi="Calibri" w:eastAsia="宋体" w:cs="Times New Roman"/>
      <w:sz w:val="21"/>
      <w:szCs w:val="21"/>
      <w:lang w:val="en-US" w:eastAsia="zh-CN" w:bidi="ar-SA"/>
    </w:rPr>
  </w:style>
  <w:style w:type="paragraph" w:customStyle="1" w:styleId="15">
    <w:name w:val="Default"/>
    <w:basedOn w:val="1"/>
    <w:next w:val="7"/>
    <w:autoRedefine/>
    <w:qFormat/>
    <w:uiPriority w:val="0"/>
    <w:pPr>
      <w:autoSpaceDE w:val="0"/>
      <w:autoSpaceDN w:val="0"/>
      <w:adjustRightInd w:val="0"/>
      <w:jc w:val="left"/>
    </w:pPr>
    <w:rPr>
      <w:rFonts w:hint="eastAsia" w:ascii="宋体"/>
      <w:color w:val="000000"/>
      <w:kern w:val="0"/>
      <w:sz w:val="24"/>
    </w:rPr>
  </w:style>
  <w:style w:type="paragraph" w:customStyle="1" w:styleId="16">
    <w:name w:val="正文（缩进）"/>
    <w:basedOn w:val="17"/>
    <w:next w:val="1"/>
    <w:autoRedefine/>
    <w:qFormat/>
    <w:uiPriority w:val="99"/>
    <w:pPr>
      <w:tabs>
        <w:tab w:val="left" w:pos="4584"/>
      </w:tabs>
      <w:spacing w:line="360" w:lineRule="auto"/>
      <w:ind w:firstLine="480" w:firstLineChars="200"/>
    </w:pPr>
    <w:rPr>
      <w:sz w:val="24"/>
    </w:rPr>
  </w:style>
  <w:style w:type="paragraph" w:customStyle="1" w:styleId="17">
    <w:name w:val="正文(首行缩进)"/>
    <w:basedOn w:val="1"/>
    <w:autoRedefine/>
    <w:qFormat/>
    <w:uiPriority w:val="0"/>
    <w:pPr>
      <w:tabs>
        <w:tab w:val="left" w:pos="4584"/>
      </w:tabs>
      <w:adjustRightInd w:val="0"/>
      <w:snapToGrid w:val="0"/>
      <w:jc w:val="center"/>
    </w:pPr>
    <w:rPr>
      <w:rFonts w:ascii="宋体" w:hAnsi="宋体"/>
      <w:snapToGrid w:val="0"/>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584</Words>
  <Characters>646</Characters>
  <Lines>6</Lines>
  <Paragraphs>1</Paragraphs>
  <TotalTime>2</TotalTime>
  <ScaleCrop>false</ScaleCrop>
  <LinksUpToDate>false</LinksUpToDate>
  <CharactersWithSpaces>649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2021-01-14T05:57:00Z</dcterms:created>
  <dc:creator>Administrator</dc:creator>
  <cp:lastModifiedBy>Administrator</cp:lastModifiedBy>
  <dcterms:modified xsi:type="dcterms:W3CDTF">2024-03-04T02:26:22Z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5D8907163C81458486D9B743443D2B70</vt:lpwstr>
  </property>
</Properties>
</file>