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tabs>
          <w:tab w:val="left" w:pos="1460"/>
        </w:tabs>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w:t>
      </w:r>
    </w:p>
    <w:p>
      <w:pPr>
        <w:pStyle w:val="7"/>
        <w:jc w:val="center"/>
        <w:rPr>
          <w:rFonts w:hint="default" w:ascii="Times New Roman" w:hAnsi="Times New Roman" w:eastAsia="方正小标宋简体" w:cs="Times New Roman"/>
          <w:bCs/>
          <w:i w:val="0"/>
          <w:iCs w:val="0"/>
          <w:snapToGrid w:val="0"/>
          <w:color w:val="000000"/>
          <w:kern w:val="0"/>
          <w:sz w:val="44"/>
          <w:szCs w:val="44"/>
          <w:u w:val="none"/>
          <w:lang w:val="en-US" w:eastAsia="zh-CN" w:bidi="ar"/>
        </w:rPr>
      </w:pPr>
      <w:bookmarkStart w:id="0" w:name="_GoBack"/>
      <w:r>
        <w:rPr>
          <w:rFonts w:hint="default" w:ascii="Times New Roman" w:hAnsi="Times New Roman" w:eastAsia="方正小标宋简体" w:cs="Times New Roman"/>
          <w:bCs/>
          <w:i w:val="0"/>
          <w:iCs w:val="0"/>
          <w:snapToGrid w:val="0"/>
          <w:color w:val="000000"/>
          <w:kern w:val="0"/>
          <w:sz w:val="44"/>
          <w:szCs w:val="44"/>
          <w:u w:val="none"/>
          <w:lang w:val="en-US" w:eastAsia="zh-CN" w:bidi="ar"/>
        </w:rPr>
        <w:t>海原县2025年闽宁协作项目资金（调整）计划表</w:t>
      </w:r>
    </w:p>
    <w:bookmarkEnd w:id="0"/>
    <w:tbl>
      <w:tblPr>
        <w:tblStyle w:val="13"/>
        <w:tblW w:w="21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956"/>
        <w:gridCol w:w="1026"/>
        <w:gridCol w:w="4515"/>
        <w:gridCol w:w="1029"/>
        <w:gridCol w:w="1003"/>
        <w:gridCol w:w="1362"/>
        <w:gridCol w:w="1266"/>
        <w:gridCol w:w="1218"/>
        <w:gridCol w:w="1171"/>
        <w:gridCol w:w="1243"/>
        <w:gridCol w:w="1196"/>
        <w:gridCol w:w="1051"/>
        <w:gridCol w:w="2892"/>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 施地点</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4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4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闽宁资金</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合计</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7592.3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7150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7150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442.3</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1" w:hRule="atLeast"/>
        </w:trPr>
        <w:tc>
          <w:tcPr>
            <w:tcW w:w="77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海原县特色产</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业培育项目</w:t>
            </w:r>
          </w:p>
        </w:tc>
        <w:tc>
          <w:tcPr>
            <w:tcW w:w="10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新建</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bCs/>
                <w:i w:val="0"/>
                <w:iCs w:val="0"/>
                <w:snapToGrid w:val="0"/>
                <w:color w:val="000000"/>
                <w:kern w:val="0"/>
                <w:sz w:val="28"/>
                <w:szCs w:val="28"/>
                <w:u w:val="none"/>
                <w:lang w:val="en-US" w:eastAsia="zh-CN" w:bidi="ar"/>
              </w:rPr>
              <w:t xml:space="preserve">    </w:t>
            </w:r>
            <w:r>
              <w:rPr>
                <w:rFonts w:hint="default" w:ascii="Times New Roman" w:hAnsi="Times New Roman" w:eastAsia="仿宋_GB2312" w:cs="Times New Roman"/>
                <w:bCs/>
                <w:i w:val="0"/>
                <w:iCs w:val="0"/>
                <w:snapToGrid w:val="0"/>
                <w:color w:val="000000"/>
                <w:kern w:val="0"/>
                <w:sz w:val="28"/>
                <w:szCs w:val="28"/>
                <w:u w:val="none"/>
                <w:lang w:val="en-US" w:eastAsia="zh-CN" w:bidi="ar"/>
              </w:rPr>
              <w:t>菌菇产业示范村培育项目。计划投入项目资金985.37万元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在贾塘乡黄坪村</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郑旗乡撒台村</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关桥乡方堡村等地建设3个标准化菌菇种植大棚基地</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建设标准化菌菇种植大棚29座11900平方米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其中：贾塘乡黄坪村15座6710平方米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郑旗乡撒台村6座2640平方米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关桥乡方堡村8座2640平方米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建设冷库3座300平方米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烘干房１座100平方米。配套建设雾化淋水设备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照明设备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菇架等</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并完善室外砂石道路</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蓄水池及室外给排水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电气设施等</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进一步巩固提升原有产业基础。</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涉及贾塘乡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郑旗乡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关桥乡等各乡镇</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eastAsia" w:ascii="Times New Roman" w:hAnsi="Times New Roman" w:eastAsia="仿宋_GB2312" w:cs="Times New Roman"/>
                <w:bCs/>
                <w:i w:val="0"/>
                <w:iCs w:val="0"/>
                <w:snapToGrid w:val="0"/>
                <w:color w:val="000000"/>
                <w:kern w:val="0"/>
                <w:sz w:val="28"/>
                <w:szCs w:val="28"/>
                <w:u w:val="none"/>
                <w:lang w:val="en-US" w:eastAsia="zh-CN" w:bidi="ar"/>
              </w:rPr>
              <w:t>5</w:t>
            </w:r>
            <w:r>
              <w:rPr>
                <w:rFonts w:hint="default" w:ascii="Times New Roman" w:hAnsi="Times New Roman" w:eastAsia="仿宋_GB2312" w:cs="Times New Roman"/>
                <w:bCs/>
                <w:i w:val="0"/>
                <w:iCs w:val="0"/>
                <w:snapToGrid w:val="0"/>
                <w:color w:val="000000"/>
                <w:kern w:val="0"/>
                <w:sz w:val="28"/>
                <w:szCs w:val="28"/>
                <w:u w:val="none"/>
                <w:lang w:val="en-US" w:eastAsia="zh-CN" w:bidi="ar"/>
              </w:rPr>
              <w:t>月至</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1</w:t>
            </w:r>
            <w:r>
              <w:rPr>
                <w:rFonts w:hint="eastAsia" w:ascii="Times New Roman" w:hAnsi="Times New Roman" w:eastAsia="仿宋_GB2312" w:cs="Times New Roman"/>
                <w:bCs/>
                <w:i w:val="0"/>
                <w:iCs w:val="0"/>
                <w:snapToGrid w:val="0"/>
                <w:color w:val="000000"/>
                <w:kern w:val="0"/>
                <w:sz w:val="28"/>
                <w:szCs w:val="28"/>
                <w:u w:val="none"/>
                <w:lang w:val="en-US" w:eastAsia="zh-CN" w:bidi="ar"/>
              </w:rPr>
              <w:t>1</w:t>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海原县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农业农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村局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985.37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910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882.37</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-27.63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103</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4000人以上</w:t>
            </w: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一是户均增加菌菇种植收入至少在5000元。资金到位率和目标完成率要达到100%。提高菌菇种植户积极性和对菌菇种植的认可度</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加大培训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使种植菌菇农户满意度达到95%以上。</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二是建设期间可提供建筑工人就业岗位50-100人。运营期间长期岗位达到30-50个。冷库的管理和维护提供10-20个就业岗位。</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三是养殖效益增加</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也带动更多劳动力实现务工就业。</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四是资金到位率和目标完成率要达到100%</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农户满意度达到95%以上</w:t>
            </w:r>
            <w:r>
              <w:rPr>
                <w:rFonts w:hint="default" w:ascii="Times New Roman" w:hAnsi="Times New Roman" w:eastAsia="仿宋_GB2312" w:cs="Times New Roman"/>
                <w:bCs/>
                <w:i w:val="0"/>
                <w:iCs w:val="0"/>
                <w:snapToGrid w:val="0"/>
                <w:color w:val="000000"/>
                <w:kern w:val="0"/>
                <w:sz w:val="28"/>
                <w:szCs w:val="2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菌菇种植补贴项目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计划投入392万元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对全县个体菇农种植菌菇每棒补贴1.8元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每户最高补贴5000棒</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新型经营主体（联农带农至少10户</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5万棒以上）每棒补贴1.8元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每个经营主体最高扶持20万棒</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sz w:val="32"/>
                <w:szCs w:val="32"/>
              </w:rPr>
              <w:t>羊肚菌</w:t>
            </w:r>
            <w:r>
              <w:rPr>
                <w:rFonts w:hint="eastAsia" w:ascii="Times New Roman" w:hAnsi="Times New Roman" w:eastAsia="仿宋_GB2312" w:cs="Times New Roman"/>
                <w:sz w:val="32"/>
                <w:szCs w:val="32"/>
                <w:lang w:eastAsia="zh-CN"/>
              </w:rPr>
              <w:t>等地下种植菌类</w:t>
            </w:r>
            <w:r>
              <w:rPr>
                <w:rFonts w:hint="default" w:ascii="Times New Roman" w:hAnsi="Times New Roman" w:eastAsia="仿宋_GB2312" w:cs="Times New Roman"/>
                <w:bCs/>
                <w:i w:val="0"/>
                <w:iCs w:val="0"/>
                <w:snapToGrid w:val="0"/>
                <w:color w:val="000000"/>
                <w:kern w:val="0"/>
                <w:sz w:val="28"/>
                <w:szCs w:val="28"/>
                <w:u w:val="none"/>
                <w:lang w:val="en-US" w:eastAsia="zh-CN" w:bidi="ar"/>
              </w:rPr>
              <w:t>按照种植面积补贴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每平方米补贴4元。</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农业农 村局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392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290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290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102</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7"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菌菇技术服务推广与培训项目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计划投入2</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0万元</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在涉及菌菇种植乡镇</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行政村采取集中</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分散培训与技术服务相结合</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至少集中培训3次</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入户技术指导</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按农户要求做到全天候</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全过程上门服务（农业农村局负责实施）。</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海原县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农业农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村局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项目实施地点</w:t>
            </w:r>
          </w:p>
        </w:tc>
        <w:tc>
          <w:tcPr>
            <w:tcW w:w="100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560" w:firstLineChars="200"/>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362"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560" w:firstLineChars="200"/>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36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海原县特色产</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业培育项目</w:t>
            </w:r>
          </w:p>
        </w:tc>
        <w:tc>
          <w:tcPr>
            <w:tcW w:w="102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新建</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海城镇产业融合发展建设项目（集配中心）。计划投入资金324.14万元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新建分拣车间1座（1000平方米）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新建冷库1栋（200平方米）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场地硬化1500平方米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配套分拣线3条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配备水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电</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外网等。</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海城镇高台村</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eastAsia" w:ascii="Times New Roman" w:hAnsi="Times New Roman" w:eastAsia="仿宋_GB2312" w:cs="Times New Roman"/>
                <w:bCs/>
                <w:i w:val="0"/>
                <w:iCs w:val="0"/>
                <w:snapToGrid w:val="0"/>
                <w:color w:val="000000"/>
                <w:kern w:val="0"/>
                <w:sz w:val="28"/>
                <w:szCs w:val="28"/>
                <w:u w:val="none"/>
                <w:lang w:val="en-US" w:eastAsia="zh-CN" w:bidi="ar"/>
              </w:rPr>
              <w:t>5</w:t>
            </w:r>
            <w:r>
              <w:rPr>
                <w:rFonts w:hint="default" w:ascii="Times New Roman" w:hAnsi="Times New Roman" w:eastAsia="仿宋_GB2312" w:cs="Times New Roman"/>
                <w:bCs/>
                <w:i w:val="0"/>
                <w:iCs w:val="0"/>
                <w:snapToGrid w:val="0"/>
                <w:color w:val="000000"/>
                <w:kern w:val="0"/>
                <w:sz w:val="28"/>
                <w:szCs w:val="28"/>
                <w:u w:val="none"/>
                <w:lang w:val="en-US" w:eastAsia="zh-CN" w:bidi="ar"/>
              </w:rPr>
              <w:t>月至</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1</w:t>
            </w:r>
            <w:r>
              <w:rPr>
                <w:rFonts w:hint="eastAsia" w:ascii="Times New Roman" w:hAnsi="Times New Roman" w:eastAsia="仿宋_GB2312" w:cs="Times New Roman"/>
                <w:bCs/>
                <w:i w:val="0"/>
                <w:iCs w:val="0"/>
                <w:snapToGrid w:val="0"/>
                <w:color w:val="000000"/>
                <w:kern w:val="0"/>
                <w:sz w:val="28"/>
                <w:szCs w:val="28"/>
                <w:u w:val="none"/>
                <w:lang w:val="en-US" w:eastAsia="zh-CN" w:bidi="ar"/>
              </w:rPr>
              <w:t>1</w:t>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海城镇</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324.1</w:t>
            </w:r>
            <w:r>
              <w:rPr>
                <w:rFonts w:hint="eastAsia" w:ascii="Times New Roman" w:hAnsi="Times New Roman" w:eastAsia="仿宋_GB2312" w:cs="Times New Roman"/>
                <w:b/>
                <w:bCs/>
                <w:i w:val="0"/>
                <w:iCs w:val="0"/>
                <w:snapToGrid w:val="0"/>
                <w:color w:val="000000"/>
                <w:kern w:val="0"/>
                <w:sz w:val="28"/>
                <w:szCs w:val="28"/>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306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298.3</w:t>
            </w:r>
            <w:r>
              <w:rPr>
                <w:rFonts w:hint="eastAsia" w:ascii="Times New Roman" w:hAnsi="Times New Roman" w:eastAsia="仿宋_GB2312" w:cs="Times New Roman"/>
                <w:bCs/>
                <w:i w:val="0"/>
                <w:iCs w:val="0"/>
                <w:snapToGrid w:val="0"/>
                <w:color w:val="000000"/>
                <w:kern w:val="0"/>
                <w:sz w:val="28"/>
                <w:szCs w:val="2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-7.6</w:t>
            </w:r>
            <w:r>
              <w:rPr>
                <w:rFonts w:hint="eastAsia" w:ascii="Times New Roman" w:hAnsi="Times New Roman" w:eastAsia="仿宋_GB2312" w:cs="Times New Roman"/>
                <w:bCs/>
                <w:i w:val="0"/>
                <w:iCs w:val="0"/>
                <w:snapToGrid w:val="0"/>
                <w:color w:val="000000"/>
                <w:kern w:val="0"/>
                <w:sz w:val="28"/>
                <w:szCs w:val="28"/>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25.8</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5"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计划投入259.7</w:t>
            </w:r>
            <w:r>
              <w:rPr>
                <w:rFonts w:hint="eastAsia" w:ascii="Times New Roman" w:hAnsi="Times New Roman" w:eastAsia="仿宋_GB2312" w:cs="Times New Roman"/>
                <w:bCs/>
                <w:i w:val="0"/>
                <w:iCs w:val="0"/>
                <w:snapToGrid w:val="0"/>
                <w:color w:val="000000"/>
                <w:kern w:val="0"/>
                <w:sz w:val="28"/>
                <w:szCs w:val="28"/>
                <w:u w:val="none"/>
                <w:lang w:val="en-US" w:eastAsia="zh-CN" w:bidi="ar"/>
              </w:rPr>
              <w:t>8</w:t>
            </w:r>
            <w:r>
              <w:rPr>
                <w:rFonts w:hint="default" w:ascii="Times New Roman" w:hAnsi="Times New Roman" w:eastAsia="仿宋_GB2312" w:cs="Times New Roman"/>
                <w:bCs/>
                <w:i w:val="0"/>
                <w:iCs w:val="0"/>
                <w:snapToGrid w:val="0"/>
                <w:color w:val="000000"/>
                <w:kern w:val="0"/>
                <w:sz w:val="28"/>
                <w:szCs w:val="28"/>
                <w:u w:val="none"/>
                <w:lang w:val="en-US" w:eastAsia="zh-CN" w:bidi="ar"/>
              </w:rPr>
              <w:t>万元，实施李俊乡团结村崖湾安置点棚圈改造项目（二期），总建筑面积1056㎡，分别新建2栋一层牛舍、2栋一层钢结构草料加工间、1栋堆粪棚，3栋青贮池，配套室外土建工程、给排水工程、电气工程、场地地基处理及边坡砌护工程等，发展养殖牛120头。</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李俊乡团结村</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2025年1月至</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1</w:t>
            </w:r>
            <w:r>
              <w:rPr>
                <w:rFonts w:hint="eastAsia" w:ascii="Times New Roman" w:hAnsi="Times New Roman" w:eastAsia="仿宋_GB2312" w:cs="Times New Roman"/>
                <w:bCs/>
                <w:i w:val="0"/>
                <w:iCs w:val="0"/>
                <w:snapToGrid w:val="0"/>
                <w:color w:val="000000"/>
                <w:kern w:val="0"/>
                <w:sz w:val="28"/>
                <w:szCs w:val="28"/>
                <w:u w:val="none"/>
                <w:lang w:val="en-US" w:eastAsia="zh-CN" w:bidi="ar"/>
              </w:rPr>
              <w:t>1</w:t>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李俊乡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259.7</w:t>
            </w:r>
            <w:r>
              <w:rPr>
                <w:rFonts w:hint="eastAsia" w:ascii="Times New Roman" w:hAnsi="Times New Roman" w:eastAsia="仿宋_GB2312" w:cs="Times New Roman"/>
                <w:b/>
                <w:bCs/>
                <w:i w:val="0"/>
                <w:iCs w:val="0"/>
                <w:snapToGrid w:val="0"/>
                <w:color w:val="000000"/>
                <w:kern w:val="0"/>
                <w:sz w:val="28"/>
                <w:szCs w:val="28"/>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270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242.5</w:t>
            </w:r>
            <w:r>
              <w:rPr>
                <w:rFonts w:hint="eastAsia" w:ascii="Times New Roman" w:hAnsi="Times New Roman" w:eastAsia="仿宋_GB2312" w:cs="Times New Roman"/>
                <w:bCs/>
                <w:i w:val="0"/>
                <w:iCs w:val="0"/>
                <w:snapToGrid w:val="0"/>
                <w:color w:val="000000"/>
                <w:kern w:val="0"/>
                <w:sz w:val="28"/>
                <w:szCs w:val="2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-27.4</w:t>
            </w:r>
            <w:r>
              <w:rPr>
                <w:rFonts w:hint="eastAsia" w:ascii="Times New Roman" w:hAnsi="Times New Roman" w:eastAsia="仿宋_GB2312" w:cs="Times New Roman"/>
                <w:bCs/>
                <w:i w:val="0"/>
                <w:iCs w:val="0"/>
                <w:snapToGrid w:val="0"/>
                <w:color w:val="000000"/>
                <w:kern w:val="0"/>
                <w:sz w:val="28"/>
                <w:szCs w:val="28"/>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17.2</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海原县千家万户沐光行动分布式光伏项目。计划投入1700万元（海城镇700万元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西安镇500万元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史店乡200万元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红羊乡200万元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甘城乡100万元）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在海城镇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西安镇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史店乡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红羊乡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甘城乡等乡镇实施分布式光伏项目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完成装机容量5.5兆瓦</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预计年发电量约770.22万度</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年发电收益约199.87万元。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西安镇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史店乡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红羊乡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甘城乡等乡镇</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eastAsia" w:ascii="Times New Roman" w:hAnsi="Times New Roman" w:eastAsia="仿宋_GB2312" w:cs="Times New Roman"/>
                <w:bCs/>
                <w:i w:val="0"/>
                <w:iCs w:val="0"/>
                <w:snapToGrid w:val="0"/>
                <w:color w:val="000000"/>
                <w:kern w:val="0"/>
                <w:sz w:val="28"/>
                <w:szCs w:val="28"/>
                <w:u w:val="none"/>
                <w:lang w:val="en-US" w:eastAsia="zh-CN" w:bidi="ar"/>
              </w:rPr>
              <w:t>5</w:t>
            </w:r>
            <w:r>
              <w:rPr>
                <w:rFonts w:hint="default" w:ascii="Times New Roman" w:hAnsi="Times New Roman" w:eastAsia="仿宋_GB2312" w:cs="Times New Roman"/>
                <w:bCs/>
                <w:i w:val="0"/>
                <w:iCs w:val="0"/>
                <w:snapToGrid w:val="0"/>
                <w:color w:val="000000"/>
                <w:kern w:val="0"/>
                <w:sz w:val="28"/>
                <w:szCs w:val="28"/>
                <w:u w:val="none"/>
                <w:lang w:val="en-US" w:eastAsia="zh-CN" w:bidi="ar"/>
              </w:rPr>
              <w:t>月至</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1</w:t>
            </w:r>
            <w:r>
              <w:rPr>
                <w:rFonts w:hint="eastAsia" w:ascii="Times New Roman" w:hAnsi="Times New Roman" w:eastAsia="仿宋_GB2312" w:cs="Times New Roman"/>
                <w:bCs/>
                <w:i w:val="0"/>
                <w:iCs w:val="0"/>
                <w:snapToGrid w:val="0"/>
                <w:color w:val="000000"/>
                <w:kern w:val="0"/>
                <w:sz w:val="28"/>
                <w:szCs w:val="28"/>
                <w:u w:val="none"/>
                <w:lang w:val="en-US" w:eastAsia="zh-CN" w:bidi="ar"/>
              </w:rPr>
              <w:t>1</w:t>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海城镇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西安镇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史店乡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红羊乡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甘城乡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1700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1700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项目实施地点</w:t>
            </w:r>
          </w:p>
        </w:tc>
        <w:tc>
          <w:tcPr>
            <w:tcW w:w="100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9" w:hRule="atLeast"/>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 三河镇 闽宁协 作现代 农业产 业示范 园项目 （二</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期）</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改造</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提升</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1.标准化暖棚改造完善。一是对29栋废旧设施大棚改造为普通种植大棚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总占地面积24203.77平方米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改造内容为：大棚主体结构的更换</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墙体裱砌多孔砖并加保温的改造</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棚膜</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棉被</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压模机及电动卷帘机等配套设备的更换</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增设给水系统。低压配电系统及照明系统。二是对16栋大棚外侧土墙裱砌多孔砖并硬化棚前通道。三是对13栋耳房提升改造。四是更换43栋大棚入口棚门。五是对园区114栋大棚入口处铺设面包砖通道。</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2.效能化系统投入。一是对51栋大棚增设低压配电系统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照明系统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给水系统。二是对45栋大棚内设水肥一体机一套,配备0.75KW追肥泵</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300升追肥桶（带搅拌功能）。</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3.智能化设施配备。对室外给水管网提升改造并配置智能水表计量等室外配套工程。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海原县三河镇黑城村</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三河镇</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人民政</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府</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8"/>
                <w:szCs w:val="28"/>
                <w:u w:val="none"/>
                <w:lang w:val="en-US"/>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1343.4</w:t>
            </w:r>
            <w:r>
              <w:rPr>
                <w:rFonts w:hint="eastAsia" w:ascii="Times New Roman" w:hAnsi="Times New Roman" w:eastAsia="仿宋_GB2312" w:cs="Times New Roman"/>
                <w:b/>
                <w:bCs/>
                <w:i w:val="0"/>
                <w:iCs w:val="0"/>
                <w:snapToGrid w:val="0"/>
                <w:color w:val="000000"/>
                <w:kern w:val="0"/>
                <w:sz w:val="28"/>
                <w:szCs w:val="28"/>
                <w:u w:val="none"/>
                <w:lang w:val="en-US" w:eastAsia="zh-CN" w:bidi="ar"/>
              </w:rPr>
              <w:t>7</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1311</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1261.5</w:t>
            </w:r>
            <w:r>
              <w:rPr>
                <w:rFonts w:hint="eastAsia" w:ascii="Times New Roman" w:hAnsi="Times New Roman" w:eastAsia="仿宋_GB2312" w:cs="Times New Roman"/>
                <w:bCs/>
                <w:i w:val="0"/>
                <w:iCs w:val="0"/>
                <w:snapToGrid w:val="0"/>
                <w:color w:val="000000"/>
                <w:kern w:val="0"/>
                <w:sz w:val="28"/>
                <w:szCs w:val="2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bCs/>
                <w:i w:val="0"/>
                <w:iCs w:val="0"/>
                <w:snapToGrid w:val="0"/>
                <w:color w:val="000000"/>
                <w:kern w:val="0"/>
                <w:sz w:val="28"/>
                <w:szCs w:val="28"/>
                <w:u w:val="none"/>
                <w:lang w:val="en-US" w:eastAsia="zh-CN" w:bidi="ar"/>
              </w:rPr>
              <w:t>-49.4</w:t>
            </w:r>
            <w:r>
              <w:rPr>
                <w:rFonts w:hint="eastAsia" w:ascii="Times New Roman" w:hAnsi="Times New Roman" w:eastAsia="仿宋_GB2312" w:cs="Times New Roman"/>
                <w:bCs/>
                <w:i w:val="0"/>
                <w:iCs w:val="0"/>
                <w:snapToGrid w:val="0"/>
                <w:color w:val="000000"/>
                <w:kern w:val="0"/>
                <w:sz w:val="28"/>
                <w:szCs w:val="28"/>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81.9</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150户630人</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实施二期项目后将通过完成新建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改造温室大棚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主要种植小番茄</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小胡瓜等新优良种</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引进“南果北种”</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中草药种植等新技术</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预计实现年收益362万元。推行水肥一体化节水灌溉设施全覆盖</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将辐射带动周边农户实施节水灌溉农业生产模式</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实现“四水四定”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带动周边农户稳定增收。</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3" w:hRule="atLeast"/>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3</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 七营镇 农产品 交易区 提升改 造项目</w:t>
            </w:r>
          </w:p>
        </w:tc>
        <w:tc>
          <w:tcPr>
            <w:tcW w:w="1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改造提升</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1.基础设施改造。主要实施项目为：（1）实施道路维修改造</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维修长度为530m</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对现有道路（宽20米4+14+2）</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新建车行道</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人行道</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新增道牙及热熔标线等</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（2）实施电气工程</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增设双臂路灯</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路灯电缆及配管</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现状线路规整等</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（3）实施拆除道牙</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道砖及混凝土拆除及外运等。</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2.实施农产品交易区改造提升。主要改造提升内容为：（1）对原有混凝土拆除并新做200厚C25混凝土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面积为17850平米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（2）室外及其他零星工程</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主要新做室外雨水管网1200米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污水检查井27个</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监控系统及棚内基础照明等。实施农产品交易区改造提升。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海原县七营镇 七营村</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七营镇</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人民政</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府</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700</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734</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652.4</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bCs/>
                <w:i w:val="0"/>
                <w:iCs w:val="0"/>
                <w:snapToGrid w:val="0"/>
                <w:color w:val="000000"/>
                <w:kern w:val="0"/>
                <w:sz w:val="28"/>
                <w:szCs w:val="28"/>
                <w:u w:val="none"/>
                <w:lang w:val="en-US" w:eastAsia="zh-CN" w:bidi="ar"/>
              </w:rPr>
              <w:t>-81.</w:t>
            </w:r>
            <w:r>
              <w:rPr>
                <w:rFonts w:hint="eastAsia" w:ascii="Times New Roman" w:hAnsi="Times New Roman" w:eastAsia="仿宋_GB2312" w:cs="Times New Roman"/>
                <w:bCs/>
                <w:i w:val="0"/>
                <w:iCs w:val="0"/>
                <w:snapToGrid w:val="0"/>
                <w:color w:val="000000"/>
                <w:kern w:val="0"/>
                <w:sz w:val="28"/>
                <w:szCs w:val="28"/>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47.6</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14个行</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政村</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9465户</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34016人</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,辐射</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周边人口。</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一是就业岗位增多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能够吸引乡村剩余劳动力回流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让村民实现家门口就业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增加农民收入</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促进乡村人口稳定。</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二是居民能够以更实惠的价格</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更短的时间采购到新鲜优质的农产品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切实提高生活质量</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增强居民幸福感与满意度。</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项目实施地点</w:t>
            </w:r>
          </w:p>
        </w:tc>
        <w:tc>
          <w:tcPr>
            <w:tcW w:w="100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7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7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7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4</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海原县闽宁劳</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务协作交流项</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目</w:t>
            </w:r>
          </w:p>
        </w:tc>
        <w:tc>
          <w:tcPr>
            <w:tcW w:w="10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新建</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1.访企拓岗及劳务培训。计划投入51.68万元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（1）组织70名人才资源服务机构负责人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劳务经纪人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乡村就业创业服务人员赴闽开展业务素质提</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升学习</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并在闽开展访企拓岗行动</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共计培训2期（每期时长7天）。（2）组织就创局工作人员</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乡村两级劳务工作者200人开展稳内拓外促进农村劳动力高质量充分就业专项行动培训会1期</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培训时长3天。</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福建省等地</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 人社局（就创局）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lang w:val="en-US"/>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51.6</w:t>
            </w:r>
            <w:r>
              <w:rPr>
                <w:rFonts w:hint="eastAsia" w:ascii="Times New Roman" w:hAnsi="Times New Roman" w:eastAsia="仿宋_GB2312" w:cs="Times New Roman"/>
                <w:b/>
                <w:bCs/>
                <w:i w:val="0"/>
                <w:iCs w:val="0"/>
                <w:snapToGrid w:val="0"/>
                <w:color w:val="000000"/>
                <w:kern w:val="0"/>
                <w:sz w:val="28"/>
                <w:szCs w:val="28"/>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70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bCs/>
                <w:i w:val="0"/>
                <w:iCs w:val="0"/>
                <w:snapToGrid w:val="0"/>
                <w:color w:val="000000"/>
                <w:kern w:val="0"/>
                <w:sz w:val="28"/>
                <w:szCs w:val="28"/>
                <w:u w:val="none"/>
                <w:lang w:val="en-US" w:eastAsia="zh-CN" w:bidi="ar"/>
              </w:rPr>
              <w:t>51.6</w:t>
            </w:r>
            <w:r>
              <w:rPr>
                <w:rFonts w:hint="eastAsia" w:ascii="Times New Roman" w:hAnsi="Times New Roman" w:eastAsia="仿宋_GB2312" w:cs="Times New Roman"/>
                <w:bCs/>
                <w:i w:val="0"/>
                <w:iCs w:val="0"/>
                <w:snapToGrid w:val="0"/>
                <w:color w:val="000000"/>
                <w:kern w:val="0"/>
                <w:sz w:val="28"/>
                <w:szCs w:val="2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-18.3</w:t>
            </w:r>
            <w:r>
              <w:rPr>
                <w:rFonts w:hint="eastAsia" w:ascii="Times New Roman" w:hAnsi="Times New Roman" w:eastAsia="仿宋_GB2312" w:cs="Times New Roman"/>
                <w:bCs/>
                <w:i w:val="0"/>
                <w:iCs w:val="0"/>
                <w:snapToGrid w:val="0"/>
                <w:color w:val="000000"/>
                <w:kern w:val="0"/>
                <w:sz w:val="28"/>
                <w:szCs w:val="28"/>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5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6000人</w:t>
            </w: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一是“点对点”集中组织输 送人员家庭年均经济收入增 加1万元以上</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带动就业人员家庭年均经济收入2万元以上。</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二是通过项目实施</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增强 海原县农村劳动力就业技 能</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提高其就业竞争力</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促 进城乡劳动力高质量充分就 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有效缓解就业压力。</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三是通过加强闽宁劳务协 作</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深化两地交流合作</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促 进区域协同发展</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实现互利 共赢。</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四是通过项目实施</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培育 一批懂技术</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善经营</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会管 理的农村致富带头人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发挥 示范引领作用</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带动更多农 村劳动力增收致富。</w:t>
            </w:r>
          </w:p>
        </w:tc>
        <w:tc>
          <w:tcPr>
            <w:tcW w:w="7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2"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2.“点对点”输送务工人员赴东部地区及结对帮扶省份就业交通费用补贴。计划投入250万元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针对海原籍</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务工人员实行跨区域</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集中式“点对点”输送。通过劳务中介组织或劳务经纪人申请</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主管单位审批</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县人社部门进行“点对点”免费输送</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年“点对点”输送5000人</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促进城乡劳动力外出稳定就业</w:t>
            </w:r>
            <w:r>
              <w:rPr>
                <w:rFonts w:hint="eastAsia" w:ascii="Times New Roman" w:hAnsi="Times New Roman" w:eastAsia="仿宋_GB2312" w:cs="Times New Roman"/>
                <w:bCs/>
                <w:i w:val="0"/>
                <w:iCs w:val="0"/>
                <w:snapToGrid w:val="0"/>
                <w:color w:val="000000"/>
                <w:spacing w:val="-6"/>
                <w:kern w:val="0"/>
                <w:sz w:val="28"/>
                <w:szCs w:val="28"/>
                <w:u w:val="none"/>
                <w:lang w:val="en-US" w:eastAsia="zh-CN" w:bidi="ar"/>
              </w:rPr>
              <w:t>、</w:t>
            </w:r>
            <w:r>
              <w:rPr>
                <w:rFonts w:hint="default" w:ascii="Times New Roman" w:hAnsi="Times New Roman" w:eastAsia="仿宋_GB2312" w:cs="Times New Roman"/>
                <w:bCs/>
                <w:i w:val="0"/>
                <w:iCs w:val="0"/>
                <w:snapToGrid w:val="0"/>
                <w:color w:val="000000"/>
                <w:spacing w:val="-6"/>
                <w:kern w:val="0"/>
                <w:sz w:val="28"/>
                <w:szCs w:val="28"/>
                <w:u w:val="none"/>
                <w:lang w:val="en-US" w:eastAsia="zh-CN" w:bidi="ar"/>
              </w:rPr>
              <w:t>增收致富。</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 xml:space="preserve">海原县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人社局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（就创局）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250</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250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250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6"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3.2025年脱贫劳动力一次性交通补贴。计划投入467.04万元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在海原县外</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自治区内就业3个月（含3个月）以上6个月以下的每人可享受一次性交通补贴200元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6个月（含6个月）以上的每人可享受一次性交通补贴400元。在自治区外就业3个月（含3个月）以上6个月以下的每人可享受一 次性交通补贴800元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6个月（含6个月）以上的每人可享受一次性交通补贴1200元。已申报一次性交通补贴的脱贫劳动力</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不再进行补贴。</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农村局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467.04</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240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467.04</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227.04</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海原县帮扶车间稳岗就业补贴。计划投入15万元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对全县认定的30个帮扶车间及招商引资入驻闽宁科技园企业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根据2024年10月至2025年10月吸纳脱贫劳动力稳岗就业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签订劳动合同等情况给予一次性补贴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补贴标准：吸纳11人至20人的一次性补贴2万元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吸纳21人至30人的一次性补贴3万元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吸纳31人至100人的一次性补贴6万元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吸纳100人以上的一次性补贴10万元。提供务工人员6个月银行工资流水或微信转账截图等证明材料和帮扶车间认定文件。</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农村局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0</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项目实施地点</w:t>
            </w:r>
          </w:p>
        </w:tc>
        <w:tc>
          <w:tcPr>
            <w:tcW w:w="100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3" w:hRule="atLeast"/>
        </w:trPr>
        <w:tc>
          <w:tcPr>
            <w:tcW w:w="77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海原县闽宁协</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作消费帮扶项</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目</w:t>
            </w:r>
          </w:p>
        </w:tc>
        <w:tc>
          <w:tcPr>
            <w:tcW w:w="10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新建</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1.农特产品销售补贴。计划投入202.3万元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鼓励企业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合作社等经营主体开展农特产品等外销</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提高销售水平。一是在海原县登记注册并正常经营的农特产品生产</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加工</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销售的企业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专业合作社</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家庭农场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帮扶车间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电商企业等经营主体（包括在海兴开发区注册的企业）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对销往自治区以外的农特产品经营主体给予奖励补贴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补贴标准：年度实际外销总额(包括通过各类电商销售平台)达到200万元以上(包括200万元)500万元以下的经营主体按外销总额的1%给予一次性补贴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年度实际外销总额达到500万元以上(包括500万元)1000万元以下的经营主体按外销总额的1.5%给予一次性补贴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年度实际外销总额达到1000万元以上(包括1000万元)的经营主体按外销总额的2%给予一次性补贴。二是补贴单个经营主体年度累计补贴最高限额可根据申报企业数量以及申报补贴销售总额情况进行确定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原则上最高不超过20万元。三是经营主体外销活体不予补贴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如：牛</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羊</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鱼等活体向宁夏回族自治区以外省份销售金额不计入经营主体外销总额。</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福建省等地</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工信和商务局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202.3</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2.3</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辐射全县农户</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实现就业200人以上</w:t>
            </w: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通过项目实施</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加大两地农副产品销售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提高农产品销量</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活跃两地市场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增强企业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合作社等新型经营主体发展信心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力争全县农特产品年外销额达到2亿元以上</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带动周边农民实现就近就业200人以上。</w:t>
            </w:r>
          </w:p>
        </w:tc>
        <w:tc>
          <w:tcPr>
            <w:tcW w:w="7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2.农特产品展示展销。计划投入127万元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组织海原县农业企业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合作社等新型经营主体</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参加区内外开展的农特产品推介会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展示展销活动等</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大力宣传推介海原农特产品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提高品牌效应和知名度。</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127</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100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27</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项目实施地点</w:t>
            </w:r>
          </w:p>
        </w:tc>
        <w:tc>
          <w:tcPr>
            <w:tcW w:w="100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45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0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3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2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7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8" w:hRule="atLeast"/>
        </w:trPr>
        <w:tc>
          <w:tcPr>
            <w:tcW w:w="77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6</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海原县闽宁协</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作“组团式”帮扶</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项目</w:t>
            </w:r>
          </w:p>
        </w:tc>
        <w:tc>
          <w:tcPr>
            <w:tcW w:w="10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新建</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lang w:val="en-US" w:eastAsia="zh-CN" w:bidi="ar"/>
              </w:rPr>
              <w:t>1.</w:t>
            </w:r>
            <w:r>
              <w:rPr>
                <w:rFonts w:hint="default" w:ascii="Times New Roman" w:hAnsi="Times New Roman" w:eastAsia="仿宋_GB2312" w:cs="Times New Roman"/>
                <w:bCs/>
                <w:i w:val="0"/>
                <w:iCs w:val="0"/>
                <w:snapToGrid w:val="0"/>
                <w:color w:val="000000"/>
                <w:kern w:val="0"/>
                <w:sz w:val="28"/>
                <w:szCs w:val="28"/>
                <w:u w:val="none"/>
                <w:lang w:val="en-US" w:eastAsia="zh-CN" w:bidi="ar"/>
              </w:rPr>
              <w:t>教育“组团式”帮扶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（1）骨干教师校际交流提升。投入150万元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组织海原一中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兴海中学</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职校青年优秀教师160人（高中130人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职校30人）按结对关系前往漳州对应学校交流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学习</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借鉴先进教育教学理念</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管理机制</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切实提高教学理论和水平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实施教研员业务提升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组织全县专兼职教研员30人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分两期（漳州</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银川各一期）进行培训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全面提高教研水平</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实施青年优秀教师交流提升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组织市县级名师工作室主持人及成员</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市县级骨干教师120人</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分三期前往银川培训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为我县打造一支优秀管理团队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培养一批优秀骨干教师</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形成良好的教育态。</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人民医</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院</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各</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学校</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教体局</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海原县人民医院</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150</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150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150</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实施闽宁协作“组团式”帮扶项目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是提供优质教育</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健康医疗服务和提高居民文化和健康教育意识全面发展的社会事业项目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是为社会生产和公共生活服务的</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是以创造社会效益为主的非生产性建设项目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无经济效益</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不作财务评价</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只作社会效益和生态效益评价。本项目的建设将满足广大人民群众对优质教育资源和基础医疗资源</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加快推进以改善民生为重点的社会建设需要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办人民满意的教育和医疗机构的需要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是关注民生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关注全民健康发展的重大举措</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使群众获得优质的基础教育和医疗资源</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全面提升教育和医疗水平。</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8" w:hRule="atLeast"/>
        </w:trPr>
        <w:tc>
          <w:tcPr>
            <w:tcW w:w="77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（2）智能教育生态提升。投入项目资金66万元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为海原一中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高级中学配备高考智能备考系统（学生端及教师端）</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阅卷分析系统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切实提高信息化阅卷水平。同时</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投入78万元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为兴海中学配备教师</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学生用计算机设备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切实提升不同类别</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不同层次</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不同岗位教师的教育教学和学生专业发展需求。</w:t>
            </w: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144</w:t>
            </w: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144</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144</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28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 号</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项目名称</w:t>
            </w:r>
          </w:p>
        </w:tc>
        <w:tc>
          <w:tcPr>
            <w:tcW w:w="10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建设性质（新建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续建</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改扩建）</w:t>
            </w:r>
          </w:p>
        </w:tc>
        <w:tc>
          <w:tcPr>
            <w:tcW w:w="451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建设内容及规模</w:t>
            </w:r>
          </w:p>
        </w:tc>
        <w:tc>
          <w:tcPr>
            <w:tcW w:w="102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项目实施地点</w:t>
            </w:r>
          </w:p>
        </w:tc>
        <w:tc>
          <w:tcPr>
            <w:tcW w:w="100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进度计划安排</w:t>
            </w:r>
          </w:p>
        </w:tc>
        <w:tc>
          <w:tcPr>
            <w:tcW w:w="136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实施单位</w:t>
            </w:r>
          </w:p>
        </w:tc>
        <w:tc>
          <w:tcPr>
            <w:tcW w:w="60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资金投入和来源（万元）</w:t>
            </w:r>
          </w:p>
        </w:tc>
        <w:tc>
          <w:tcPr>
            <w:tcW w:w="1051"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受益对 象（村</w:t>
            </w:r>
            <w:r>
              <w:rPr>
                <w:rFonts w:hint="eastAsia" w:ascii="Times New Roman" w:hAnsi="Times New Roman" w:eastAsia="黑体" w:cs="Times New Roman"/>
                <w:b w:val="0"/>
                <w:bCs w:val="0"/>
                <w:i w:val="0"/>
                <w:iCs w:val="0"/>
                <w:snapToGrid w:val="0"/>
                <w:color w:val="000000"/>
                <w:kern w:val="0"/>
                <w:sz w:val="28"/>
                <w:szCs w:val="28"/>
                <w:u w:val="none"/>
                <w:lang w:val="en-US" w:eastAsia="zh-CN" w:bidi="ar"/>
              </w:rPr>
              <w:t>、</w:t>
            </w:r>
            <w:r>
              <w:rPr>
                <w:rFonts w:hint="default" w:ascii="Times New Roman" w:hAnsi="Times New Roman" w:eastAsia="黑体" w:cs="Times New Roman"/>
                <w:b w:val="0"/>
                <w:bCs w:val="0"/>
                <w:i w:val="0"/>
                <w:iCs w:val="0"/>
                <w:snapToGrid w:val="0"/>
                <w:color w:val="000000"/>
                <w:kern w:val="0"/>
                <w:sz w:val="28"/>
                <w:szCs w:val="28"/>
                <w:u w:val="none"/>
                <w:lang w:val="en-US" w:eastAsia="zh-CN" w:bidi="ar"/>
              </w:rPr>
              <w:t>户 /人）</w:t>
            </w: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绩效目标</w:t>
            </w:r>
          </w:p>
        </w:tc>
        <w:tc>
          <w:tcPr>
            <w:tcW w:w="7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74"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26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调整后</w:t>
            </w:r>
          </w:p>
        </w:tc>
        <w:tc>
          <w:tcPr>
            <w:tcW w:w="10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9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2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45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jc w:val="left"/>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10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00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3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12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snapToGrid w:val="0"/>
                <w:color w:val="000000"/>
                <w:kern w:val="0"/>
                <w:sz w:val="28"/>
                <w:szCs w:val="28"/>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snapToGrid w:val="0"/>
                <w:color w:val="000000"/>
                <w:kern w:val="0"/>
                <w:sz w:val="28"/>
                <w:szCs w:val="28"/>
                <w:u w:val="none"/>
                <w:lang w:val="en-US" w:eastAsia="zh-CN" w:bidi="ar"/>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增减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黑体" w:cs="Times New Roman"/>
                <w:b w:val="0"/>
                <w:bCs w:val="0"/>
                <w:i w:val="0"/>
                <w:iCs w:val="0"/>
                <w:color w:val="000000"/>
                <w:kern w:val="2"/>
                <w:sz w:val="28"/>
                <w:szCs w:val="28"/>
                <w:u w:val="none"/>
                <w:lang w:val="en-US" w:eastAsia="zh-CN" w:bidi="ar-SA"/>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县级配套资金</w:t>
            </w: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i w:val="0"/>
                <w:iCs w:val="0"/>
                <w:snapToGrid w:val="0"/>
                <w:color w:val="000000"/>
                <w:kern w:val="0"/>
                <w:sz w:val="28"/>
                <w:szCs w:val="28"/>
                <w:u w:val="none"/>
                <w:lang w:val="en-US" w:eastAsia="zh-CN" w:bidi="ar"/>
              </w:rPr>
            </w:pP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c>
          <w:tcPr>
            <w:tcW w:w="7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6</w:t>
            </w:r>
          </w:p>
        </w:tc>
        <w:tc>
          <w:tcPr>
            <w:tcW w:w="95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海原县闽宁协</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作“组团式”帮扶</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项目</w:t>
            </w:r>
          </w:p>
        </w:tc>
        <w:tc>
          <w:tcPr>
            <w:tcW w:w="10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新建</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2.医疗“组团式”帮扶                         （3）县人民医院医学康复科建设。投入160万元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打造康复医学科建设</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重点围绕神经康复（脑卒中</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脊髓损伤）</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骨科术后康复</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慢性疼痛康复</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儿童康复四大方向</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配置相关医疗设备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开展5项以上新技术（如冲击波治疗等）。加强学科人才培养</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培养2-3名骨干医护人员</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柔性引进1名高级职称专家</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举办全县学科技能提升培训班1期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切实提高康复科水平。</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160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160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28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实施闽宁协作“组团式”帮扶项目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是提供优质教育</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健康医疗服务和提高居民文化和健康教育意识全面发展的社会事业项目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是为社会生产和公共生活服务的</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是以创造社会效益为主的非生产性建设项目</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无经济效益</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不作财务评价</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只作社会效益和生态效益评价。本项目的建设将满足广大人民群众对优质教育资源和基础医疗资源</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加快推进以改善民生为重点的社会建设需要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办人民满意的教育和医疗机构的需要</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是关注民生</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关注全民健康发展的重大举措</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使群众获得优质的基础教育和医疗资源</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全面提升教育和医疗水平。</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77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956"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02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（4）县人民医院实验室能力提升。投入315.5万元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人才培养方面</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选派3-5名骨干送出去培养</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请进来短期专家培训指导</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达到全员持证上岗</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举办全县检验培训班1个</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开展宣传宣教等</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柔性引进1名高级职称专家</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新增15项以上检测项目（如肿瘤标志物</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基因检测）</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年检测量提升20%。建设硬件达标</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改造实验室1144.8㎡</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涉及室内给排水</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暖通</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强弱电</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电气</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送风排风空调</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局部墙体拆除等</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使实验室综合能力达到国家标准</w:t>
            </w:r>
            <w:r>
              <w:rPr>
                <w:rFonts w:hint="eastAsia" w:ascii="Times New Roman" w:hAnsi="Times New Roman" w:eastAsia="仿宋_GB2312" w:cs="Times New Roman"/>
                <w:bCs/>
                <w:i w:val="0"/>
                <w:iCs w:val="0"/>
                <w:snapToGrid w:val="0"/>
                <w:color w:val="000000"/>
                <w:kern w:val="0"/>
                <w:sz w:val="28"/>
                <w:szCs w:val="28"/>
                <w:u w:val="none"/>
                <w:lang w:val="en-US" w:eastAsia="zh-CN" w:bidi="ar"/>
              </w:rPr>
              <w:t>，</w:t>
            </w:r>
            <w:r>
              <w:rPr>
                <w:rFonts w:hint="default" w:ascii="Times New Roman" w:hAnsi="Times New Roman" w:eastAsia="仿宋_GB2312" w:cs="Times New Roman"/>
                <w:bCs/>
                <w:i w:val="0"/>
                <w:iCs w:val="0"/>
                <w:snapToGrid w:val="0"/>
                <w:color w:val="000000"/>
                <w:kern w:val="0"/>
                <w:sz w:val="28"/>
                <w:szCs w:val="28"/>
                <w:u w:val="none"/>
                <w:lang w:val="en-US" w:eastAsia="zh-CN" w:bidi="ar"/>
              </w:rPr>
              <w:t>促进检验检查结果互认。</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2025年</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5月-11</w:t>
            </w:r>
            <w:r>
              <w:rPr>
                <w:rFonts w:hint="default" w:ascii="Times New Roman" w:hAnsi="Times New Roman" w:eastAsia="仿宋_GB2312" w:cs="Times New Roman"/>
                <w:bCs/>
                <w:i w:val="0"/>
                <w:iCs w:val="0"/>
                <w:snapToGrid w:val="0"/>
                <w:color w:val="000000"/>
                <w:kern w:val="0"/>
                <w:sz w:val="28"/>
                <w:szCs w:val="28"/>
                <w:u w:val="none"/>
                <w:lang w:val="en-US" w:eastAsia="zh-CN" w:bidi="ar"/>
              </w:rPr>
              <w:br w:type="textWrapping"/>
            </w:r>
            <w:r>
              <w:rPr>
                <w:rFonts w:hint="default" w:ascii="Times New Roman" w:hAnsi="Times New Roman" w:eastAsia="仿宋_GB2312" w:cs="Times New Roman"/>
                <w:bCs/>
                <w:i w:val="0"/>
                <w:iCs w:val="0"/>
                <w:snapToGrid w:val="0"/>
                <w:color w:val="000000"/>
                <w:kern w:val="0"/>
                <w:sz w:val="28"/>
                <w:szCs w:val="28"/>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snapToGrid w:val="0"/>
                <w:color w:val="000000"/>
                <w:kern w:val="0"/>
                <w:sz w:val="28"/>
                <w:szCs w:val="28"/>
                <w:u w:val="none"/>
                <w:lang w:val="en-US" w:eastAsia="zh-CN" w:bidi="ar"/>
              </w:rPr>
              <w:t>315.5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300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300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15.5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bCs/>
                <w:i w:val="0"/>
                <w:iCs w:val="0"/>
                <w:snapToGrid w:val="0"/>
                <w:color w:val="000000"/>
                <w:kern w:val="0"/>
                <w:sz w:val="28"/>
                <w:szCs w:val="28"/>
                <w:u w:val="none"/>
                <w:lang w:val="en-US" w:eastAsia="zh-CN" w:bidi="ar"/>
              </w:rPr>
              <w:t>20万人以上</w:t>
            </w:r>
          </w:p>
        </w:tc>
        <w:tc>
          <w:tcPr>
            <w:tcW w:w="28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8"/>
                <w:szCs w:val="28"/>
                <w:u w:val="none"/>
              </w:rPr>
            </w:pPr>
          </w:p>
        </w:tc>
      </w:tr>
    </w:tbl>
    <w:p>
      <w:pPr>
        <w:pStyle w:val="7"/>
        <w:jc w:val="left"/>
        <w:rPr>
          <w:rFonts w:hint="default" w:ascii="Times New Roman" w:hAnsi="Times New Roman" w:eastAsia="方正小标宋简体" w:cs="Times New Roman"/>
          <w:bCs/>
          <w:i w:val="0"/>
          <w:iCs w:val="0"/>
          <w:snapToGrid w:val="0"/>
          <w:color w:val="000000"/>
          <w:kern w:val="0"/>
          <w:sz w:val="44"/>
          <w:szCs w:val="44"/>
          <w:u w:val="none"/>
          <w:lang w:val="en-US" w:eastAsia="zh-CN" w:bidi="ar"/>
        </w:rPr>
        <w:sectPr>
          <w:footerReference r:id="rId3" w:type="default"/>
          <w:pgSz w:w="23811" w:h="16838" w:orient="landscape"/>
          <w:pgMar w:top="1247" w:right="1247" w:bottom="1247" w:left="1247" w:header="851" w:footer="1247" w:gutter="0"/>
          <w:pgBorders>
            <w:top w:val="none" w:sz="0" w:space="0"/>
            <w:left w:val="none" w:sz="0" w:space="0"/>
            <w:bottom w:val="none" w:sz="0" w:space="0"/>
            <w:right w:val="none" w:sz="0" w:space="0"/>
          </w:pgBorders>
          <w:pgNumType w:fmt="decimal" w:start="17"/>
          <w:cols w:space="0" w:num="1"/>
          <w:rtlGutter w:val="0"/>
          <w:docGrid w:type="lines" w:linePitch="448" w:charSpace="0"/>
        </w:sectPr>
      </w:pPr>
    </w:p>
    <w:p>
      <w:pPr>
        <w:pStyle w:val="5"/>
        <w:jc w:val="right"/>
        <w:rPr>
          <w:rFonts w:hint="default" w:ascii="Times New Roman" w:hAnsi="Times New Roman" w:cs="Times New Roman"/>
          <w:lang w:val="en-US" w:eastAsia="zh-CN"/>
        </w:rPr>
      </w:pPr>
    </w:p>
    <w:sectPr>
      <w:footerReference r:id="rId4" w:type="default"/>
      <w:pgSz w:w="11905" w:h="16838"/>
      <w:pgMar w:top="2041" w:right="1587" w:bottom="1701" w:left="1587" w:header="851" w:footer="1247" w:gutter="0"/>
      <w:pgBorders>
        <w:top w:val="none" w:sz="0" w:space="0"/>
        <w:left w:val="none" w:sz="0" w:space="0"/>
        <w:bottom w:val="none" w:sz="0" w:space="0"/>
        <w:right w:val="none" w:sz="0" w:space="0"/>
      </w:pgBorders>
      <w:pgNumType w:fmt="decimal"/>
      <w:cols w:space="0" w:num="1"/>
      <w:rtlGutter w:val="0"/>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汉仪旗黑-105简"/>
    <w:panose1 w:val="00000000000000000000"/>
    <w:charset w:val="00"/>
    <w:family w:val="auto"/>
    <w:pitch w:val="default"/>
    <w:sig w:usb0="00000000" w:usb1="00000000" w:usb2="00000000" w:usb3="00000000" w:csb0="00000000" w:csb1="00000000"/>
  </w:font>
  <w:font w:name="汉仪旗黑-105简">
    <w:panose1 w:val="00020600040101010101"/>
    <w:charset w:val="86"/>
    <w:family w:val="auto"/>
    <w:pitch w:val="default"/>
    <w:sig w:usb0="A00002BF" w:usb1="18EF7CFA" w:usb2="00000016"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bCs/>
        <w:snapToGrid w:val="0"/>
        <w:kern w:val="21"/>
        <w:sz w:val="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0396D"/>
    <w:rsid w:val="021D3252"/>
    <w:rsid w:val="02B81FC4"/>
    <w:rsid w:val="036531AB"/>
    <w:rsid w:val="04786D04"/>
    <w:rsid w:val="06206E3C"/>
    <w:rsid w:val="07EC00FF"/>
    <w:rsid w:val="09485E21"/>
    <w:rsid w:val="0ADFBE58"/>
    <w:rsid w:val="0B533C0A"/>
    <w:rsid w:val="0DAF6BCA"/>
    <w:rsid w:val="0EC03ECE"/>
    <w:rsid w:val="0F6A7554"/>
    <w:rsid w:val="111A38E0"/>
    <w:rsid w:val="11934328"/>
    <w:rsid w:val="1195208E"/>
    <w:rsid w:val="12504EA7"/>
    <w:rsid w:val="14212998"/>
    <w:rsid w:val="17C65D11"/>
    <w:rsid w:val="187370EB"/>
    <w:rsid w:val="196A3985"/>
    <w:rsid w:val="196A41BB"/>
    <w:rsid w:val="19CA5206"/>
    <w:rsid w:val="1A2465C7"/>
    <w:rsid w:val="1AA35314"/>
    <w:rsid w:val="1AA61419"/>
    <w:rsid w:val="1BC870E0"/>
    <w:rsid w:val="220031D6"/>
    <w:rsid w:val="22621D7A"/>
    <w:rsid w:val="236E3D39"/>
    <w:rsid w:val="255970E0"/>
    <w:rsid w:val="279FDE6E"/>
    <w:rsid w:val="2A58354C"/>
    <w:rsid w:val="2B79038A"/>
    <w:rsid w:val="2D0621FE"/>
    <w:rsid w:val="2DD850AF"/>
    <w:rsid w:val="2EFD4C0F"/>
    <w:rsid w:val="2F2F6E3B"/>
    <w:rsid w:val="2FFF0EEA"/>
    <w:rsid w:val="309A2534"/>
    <w:rsid w:val="32933D30"/>
    <w:rsid w:val="32DB57D3"/>
    <w:rsid w:val="330E0496"/>
    <w:rsid w:val="34955223"/>
    <w:rsid w:val="35FD9072"/>
    <w:rsid w:val="3736112E"/>
    <w:rsid w:val="3749018D"/>
    <w:rsid w:val="392C6D82"/>
    <w:rsid w:val="39D26F6B"/>
    <w:rsid w:val="39DC5FBD"/>
    <w:rsid w:val="3C4451FF"/>
    <w:rsid w:val="3E87229B"/>
    <w:rsid w:val="3F69001E"/>
    <w:rsid w:val="3F876818"/>
    <w:rsid w:val="3FB1448E"/>
    <w:rsid w:val="3FC5A353"/>
    <w:rsid w:val="409969B6"/>
    <w:rsid w:val="40F40090"/>
    <w:rsid w:val="43134BD6"/>
    <w:rsid w:val="437E243A"/>
    <w:rsid w:val="43A24325"/>
    <w:rsid w:val="45DB4E99"/>
    <w:rsid w:val="46CE4FB8"/>
    <w:rsid w:val="46E45932"/>
    <w:rsid w:val="471843AC"/>
    <w:rsid w:val="4881126C"/>
    <w:rsid w:val="488C6867"/>
    <w:rsid w:val="49EA7E70"/>
    <w:rsid w:val="4A265E0C"/>
    <w:rsid w:val="4AAA69FE"/>
    <w:rsid w:val="4B2E7D07"/>
    <w:rsid w:val="4CFB09F8"/>
    <w:rsid w:val="4D5C3245"/>
    <w:rsid w:val="4E0C12D7"/>
    <w:rsid w:val="4F2E7D35"/>
    <w:rsid w:val="4F5173BB"/>
    <w:rsid w:val="4FC45207"/>
    <w:rsid w:val="50E67B12"/>
    <w:rsid w:val="512770AC"/>
    <w:rsid w:val="525347A9"/>
    <w:rsid w:val="52E33AC0"/>
    <w:rsid w:val="54EA2BD6"/>
    <w:rsid w:val="54ED65D1"/>
    <w:rsid w:val="58A576D9"/>
    <w:rsid w:val="5AE70330"/>
    <w:rsid w:val="5B065C02"/>
    <w:rsid w:val="5B4A170E"/>
    <w:rsid w:val="5D5D6E9E"/>
    <w:rsid w:val="5DDF0DAA"/>
    <w:rsid w:val="5ECE45A7"/>
    <w:rsid w:val="5F3F6038"/>
    <w:rsid w:val="60C5618F"/>
    <w:rsid w:val="60F07EDE"/>
    <w:rsid w:val="610C4B2A"/>
    <w:rsid w:val="61FA7135"/>
    <w:rsid w:val="62476493"/>
    <w:rsid w:val="624B607E"/>
    <w:rsid w:val="648720D5"/>
    <w:rsid w:val="658A6799"/>
    <w:rsid w:val="65B376D9"/>
    <w:rsid w:val="6628050D"/>
    <w:rsid w:val="67744F2A"/>
    <w:rsid w:val="67D99DDF"/>
    <w:rsid w:val="6A3A704D"/>
    <w:rsid w:val="6AFF5EAE"/>
    <w:rsid w:val="6CAE34B5"/>
    <w:rsid w:val="6D107982"/>
    <w:rsid w:val="6D2A6506"/>
    <w:rsid w:val="6D3E606B"/>
    <w:rsid w:val="6D4D62AE"/>
    <w:rsid w:val="6E054C0E"/>
    <w:rsid w:val="6E402544"/>
    <w:rsid w:val="6E6B7334"/>
    <w:rsid w:val="6EB7A7AE"/>
    <w:rsid w:val="6FB5BD34"/>
    <w:rsid w:val="701632CF"/>
    <w:rsid w:val="70F17525"/>
    <w:rsid w:val="71864457"/>
    <w:rsid w:val="7193135A"/>
    <w:rsid w:val="749200C9"/>
    <w:rsid w:val="74DA7F07"/>
    <w:rsid w:val="7770396D"/>
    <w:rsid w:val="77DF583A"/>
    <w:rsid w:val="79DDDCE3"/>
    <w:rsid w:val="7A961E5B"/>
    <w:rsid w:val="7AF366E7"/>
    <w:rsid w:val="7B73C3D0"/>
    <w:rsid w:val="7BFE37D5"/>
    <w:rsid w:val="7C3B6823"/>
    <w:rsid w:val="7C6D2BA4"/>
    <w:rsid w:val="7D5B0F1F"/>
    <w:rsid w:val="7DC0717D"/>
    <w:rsid w:val="7E7D68FA"/>
    <w:rsid w:val="7EFF5651"/>
    <w:rsid w:val="7FFD2A4E"/>
    <w:rsid w:val="ABDC1E18"/>
    <w:rsid w:val="AF4BA6B9"/>
    <w:rsid w:val="BEB79223"/>
    <w:rsid w:val="DFEB9AEC"/>
    <w:rsid w:val="DFF361E2"/>
    <w:rsid w:val="EBFFC715"/>
    <w:rsid w:val="EEDF9DE2"/>
    <w:rsid w:val="EF9FE396"/>
    <w:rsid w:val="EFFBCF36"/>
    <w:rsid w:val="F2DF7BE0"/>
    <w:rsid w:val="F75DB9BA"/>
    <w:rsid w:val="F77FCF21"/>
    <w:rsid w:val="F7A9CE2C"/>
    <w:rsid w:val="F7DC2F73"/>
    <w:rsid w:val="F7EBDBB0"/>
    <w:rsid w:val="FBFF0C28"/>
    <w:rsid w:val="FEFF4791"/>
    <w:rsid w:val="FFAEC181"/>
    <w:rsid w:val="FFBFE1A1"/>
    <w:rsid w:val="FFF9C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keepNext/>
      <w:keepLines/>
      <w:ind w:firstLine="0" w:firstLineChars="0"/>
      <w:jc w:val="left"/>
      <w:outlineLvl w:val="1"/>
    </w:pPr>
    <w:rPr>
      <w:rFonts w:eastAsia="黑体" w:cs="Times New Roman"/>
      <w:bCs/>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afterAutospacing="0"/>
    </w:pPr>
  </w:style>
  <w:style w:type="paragraph" w:styleId="5">
    <w:name w:val="Body Text First Indent"/>
    <w:basedOn w:val="4"/>
    <w:next w:val="4"/>
    <w:qFormat/>
    <w:uiPriority w:val="0"/>
    <w:pPr>
      <w:ind w:firstLine="420" w:firstLineChars="100"/>
    </w:pPr>
  </w:style>
  <w:style w:type="paragraph" w:styleId="6">
    <w:name w:val="Body Text Indent"/>
    <w:basedOn w:val="1"/>
    <w:qFormat/>
    <w:uiPriority w:val="99"/>
    <w:pPr>
      <w:ind w:firstLine="200" w:firstLineChars="200"/>
    </w:pPr>
    <w:rPr>
      <w:rFonts w:ascii="Times New Roman" w:hAnsi="Times New Roman" w:eastAsia="仿宋_GB2312"/>
      <w:sz w:val="32"/>
    </w:rPr>
  </w:style>
  <w:style w:type="paragraph" w:styleId="7">
    <w:name w:val="Balloon Text"/>
    <w:basedOn w:val="1"/>
    <w:qFormat/>
    <w:uiPriority w:val="0"/>
    <w:pPr>
      <w:widowControl w:val="0"/>
      <w:jc w:val="both"/>
    </w:pPr>
    <w:rPr>
      <w:rFonts w:ascii="Times New Roman" w:hAnsi="Times New Roman" w:eastAsia="宋体" w:cs="Times New Roman"/>
      <w:bCs/>
      <w:snapToGrid w:val="0"/>
      <w:kern w:val="21"/>
      <w:sz w:val="18"/>
      <w:szCs w:val="18"/>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6"/>
    <w:qFormat/>
    <w:uiPriority w:val="99"/>
    <w:pPr>
      <w:ind w:firstLine="420"/>
    </w:pPr>
  </w:style>
  <w:style w:type="character" w:styleId="15">
    <w:name w:val="page number"/>
    <w:basedOn w:val="14"/>
    <w:qFormat/>
    <w:uiPriority w:val="0"/>
  </w:style>
  <w:style w:type="paragraph" w:customStyle="1" w:styleId="16">
    <w:name w:val="正文（首行缩进两字）"/>
    <w:basedOn w:val="1"/>
    <w:qFormat/>
    <w:uiPriority w:val="0"/>
    <w:pPr>
      <w:ind w:firstLine="420" w:firstLineChars="200"/>
    </w:pPr>
    <w:rPr>
      <w:rFonts w:eastAsia="仿宋"/>
      <w:sz w:val="28"/>
      <w:szCs w:val="21"/>
    </w:rPr>
  </w:style>
  <w:style w:type="character" w:customStyle="1" w:styleId="17">
    <w:name w:val="font81"/>
    <w:basedOn w:val="14"/>
    <w:qFormat/>
    <w:uiPriority w:val="0"/>
    <w:rPr>
      <w:rFonts w:hint="eastAsia" w:ascii="方正小标宋_GBK" w:hAnsi="方正小标宋_GBK" w:eastAsia="方正小标宋_GBK" w:cs="方正小标宋_GBK"/>
      <w:color w:val="000000"/>
      <w:sz w:val="32"/>
      <w:szCs w:val="32"/>
      <w:u w:val="none"/>
    </w:rPr>
  </w:style>
  <w:style w:type="character" w:customStyle="1" w:styleId="18">
    <w:name w:val="font91"/>
    <w:basedOn w:val="14"/>
    <w:qFormat/>
    <w:uiPriority w:val="0"/>
    <w:rPr>
      <w:rFonts w:hint="default" w:ascii="Times New Roman" w:hAnsi="Times New Roman" w:cs="Times New Roman"/>
      <w:color w:val="000000"/>
      <w:sz w:val="32"/>
      <w:szCs w:val="32"/>
      <w:u w:val="none"/>
    </w:rPr>
  </w:style>
  <w:style w:type="character" w:customStyle="1" w:styleId="19">
    <w:name w:val="font131"/>
    <w:basedOn w:val="14"/>
    <w:qFormat/>
    <w:uiPriority w:val="0"/>
    <w:rPr>
      <w:rFonts w:ascii="黑体" w:hAnsi="宋体" w:eastAsia="黑体" w:cs="黑体"/>
      <w:color w:val="000000"/>
      <w:sz w:val="28"/>
      <w:szCs w:val="28"/>
      <w:u w:val="none"/>
    </w:rPr>
  </w:style>
  <w:style w:type="character" w:customStyle="1" w:styleId="20">
    <w:name w:val="font101"/>
    <w:basedOn w:val="14"/>
    <w:qFormat/>
    <w:uiPriority w:val="0"/>
    <w:rPr>
      <w:rFonts w:hint="default" w:ascii="Times New Roman" w:hAnsi="Times New Roman" w:cs="Times New Roman"/>
      <w:color w:val="000000"/>
      <w:sz w:val="28"/>
      <w:szCs w:val="28"/>
      <w:u w:val="none"/>
    </w:rPr>
  </w:style>
  <w:style w:type="character" w:customStyle="1" w:styleId="21">
    <w:name w:val="font141"/>
    <w:basedOn w:val="14"/>
    <w:qFormat/>
    <w:uiPriority w:val="0"/>
    <w:rPr>
      <w:rFonts w:hint="eastAsia" w:ascii="仿宋_GB2312" w:eastAsia="仿宋_GB2312" w:cs="仿宋_GB2312"/>
      <w:color w:val="000000"/>
      <w:sz w:val="28"/>
      <w:szCs w:val="28"/>
      <w:u w:val="none"/>
    </w:rPr>
  </w:style>
  <w:style w:type="character" w:customStyle="1" w:styleId="22">
    <w:name w:val="font41"/>
    <w:basedOn w:val="14"/>
    <w:qFormat/>
    <w:uiPriority w:val="0"/>
    <w:rPr>
      <w:rFonts w:ascii="Nimbus Roman No9 L" w:hAnsi="Nimbus Roman No9 L" w:eastAsia="Nimbus Roman No9 L" w:cs="Nimbus Roman No9 L"/>
      <w:color w:val="000000"/>
      <w:sz w:val="32"/>
      <w:szCs w:val="32"/>
      <w:u w:val="none"/>
    </w:rPr>
  </w:style>
  <w:style w:type="character" w:customStyle="1" w:styleId="23">
    <w:name w:val="font31"/>
    <w:basedOn w:val="14"/>
    <w:qFormat/>
    <w:uiPriority w:val="0"/>
    <w:rPr>
      <w:rFonts w:hint="eastAsia" w:ascii="方正小标宋_GBK" w:hAnsi="方正小标宋_GBK" w:eastAsia="方正小标宋_GBK" w:cs="方正小标宋_GBK"/>
      <w:color w:val="000000"/>
      <w:sz w:val="32"/>
      <w:szCs w:val="32"/>
      <w:u w:val="none"/>
    </w:rPr>
  </w:style>
  <w:style w:type="character" w:customStyle="1" w:styleId="24">
    <w:name w:val="font51"/>
    <w:basedOn w:val="14"/>
    <w:qFormat/>
    <w:uiPriority w:val="0"/>
    <w:rPr>
      <w:rFonts w:hint="default" w:ascii="Nimbus Roman No9 L" w:hAnsi="Nimbus Roman No9 L" w:eastAsia="Nimbus Roman No9 L" w:cs="Nimbus Roman No9 L"/>
      <w:b/>
      <w:bCs/>
      <w:color w:val="000000"/>
      <w:sz w:val="24"/>
      <w:szCs w:val="24"/>
      <w:u w:val="none"/>
    </w:rPr>
  </w:style>
  <w:style w:type="character" w:customStyle="1" w:styleId="25">
    <w:name w:val="font151"/>
    <w:basedOn w:val="14"/>
    <w:qFormat/>
    <w:uiPriority w:val="0"/>
    <w:rPr>
      <w:rFonts w:hint="eastAsia" w:ascii="仿宋_GB2312" w:eastAsia="仿宋_GB2312" w:cs="仿宋_GB2312"/>
      <w:b/>
      <w:bCs/>
      <w:color w:val="000000"/>
      <w:sz w:val="28"/>
      <w:szCs w:val="28"/>
      <w:u w:val="none"/>
    </w:rPr>
  </w:style>
  <w:style w:type="character" w:customStyle="1" w:styleId="26">
    <w:name w:val="font161"/>
    <w:basedOn w:val="14"/>
    <w:qFormat/>
    <w:uiPriority w:val="0"/>
    <w:rPr>
      <w:rFonts w:hint="eastAsia" w:ascii="仿宋_GB2312" w:eastAsia="仿宋_GB2312" w:cs="仿宋_GB2312"/>
      <w:color w:val="000000"/>
      <w:sz w:val="28"/>
      <w:szCs w:val="28"/>
      <w:u w:val="none"/>
    </w:rPr>
  </w:style>
  <w:style w:type="character" w:customStyle="1" w:styleId="27">
    <w:name w:val="font171"/>
    <w:basedOn w:val="14"/>
    <w:qFormat/>
    <w:uiPriority w:val="0"/>
    <w:rPr>
      <w:rFonts w:hint="eastAsia" w:ascii="宋体" w:hAnsi="宋体" w:eastAsia="宋体" w:cs="宋体"/>
      <w:b/>
      <w:bCs/>
      <w:color w:val="000000"/>
      <w:sz w:val="28"/>
      <w:szCs w:val="28"/>
      <w:u w:val="none"/>
    </w:rPr>
  </w:style>
  <w:style w:type="character" w:customStyle="1" w:styleId="28">
    <w:name w:val="font181"/>
    <w:basedOn w:val="14"/>
    <w:qFormat/>
    <w:uiPriority w:val="0"/>
    <w:rPr>
      <w:rFonts w:hint="eastAsia" w:ascii="仿宋_GB2312" w:eastAsia="仿宋_GB2312" w:cs="仿宋_GB2312"/>
      <w:color w:val="000000"/>
      <w:sz w:val="20"/>
      <w:szCs w:val="20"/>
      <w:u w:val="none"/>
    </w:rPr>
  </w:style>
  <w:style w:type="character" w:customStyle="1" w:styleId="29">
    <w:name w:val="NormalCharacter"/>
    <w:semiHidden/>
    <w:qFormat/>
    <w:uiPriority w:val="99"/>
  </w:style>
  <w:style w:type="character" w:customStyle="1" w:styleId="30">
    <w:name w:val="font21"/>
    <w:basedOn w:val="14"/>
    <w:qFormat/>
    <w:uiPriority w:val="0"/>
    <w:rPr>
      <w:rFonts w:hint="eastAsia" w:ascii="仿宋_GB2312" w:eastAsia="仿宋_GB2312" w:cs="仿宋_GB2312"/>
      <w:b/>
      <w:bCs/>
      <w:color w:val="000000"/>
      <w:sz w:val="32"/>
      <w:szCs w:val="32"/>
      <w:u w:val="none"/>
    </w:rPr>
  </w:style>
  <w:style w:type="character" w:customStyle="1" w:styleId="31">
    <w:name w:val="font71"/>
    <w:basedOn w:val="14"/>
    <w:qFormat/>
    <w:uiPriority w:val="0"/>
    <w:rPr>
      <w:rFonts w:ascii="仿宋" w:hAnsi="仿宋" w:eastAsia="仿宋" w:cs="仿宋"/>
      <w:color w:val="000000"/>
      <w:sz w:val="32"/>
      <w:szCs w:val="32"/>
      <w:u w:val="none"/>
    </w:rPr>
  </w:style>
  <w:style w:type="character" w:customStyle="1" w:styleId="32">
    <w:name w:val="font61"/>
    <w:basedOn w:val="14"/>
    <w:qFormat/>
    <w:uiPriority w:val="0"/>
    <w:rPr>
      <w:rFonts w:hint="eastAsia" w:ascii="仿宋_GB2312" w:eastAsia="仿宋_GB2312" w:cs="仿宋_GB2312"/>
      <w:color w:val="000000"/>
      <w:sz w:val="32"/>
      <w:szCs w:val="32"/>
      <w:u w:val="none"/>
    </w:rPr>
  </w:style>
  <w:style w:type="character" w:customStyle="1" w:styleId="33">
    <w:name w:val="font112"/>
    <w:basedOn w:val="14"/>
    <w:qFormat/>
    <w:uiPriority w:val="0"/>
    <w:rPr>
      <w:rFonts w:hint="default" w:ascii="Times New Roman" w:hAnsi="Times New Roman" w:cs="Times New Roman"/>
      <w:color w:val="000000"/>
      <w:sz w:val="18"/>
      <w:szCs w:val="18"/>
      <w:u w:val="none"/>
    </w:rPr>
  </w:style>
  <w:style w:type="character" w:customStyle="1" w:styleId="34">
    <w:name w:val="font121"/>
    <w:basedOn w:val="14"/>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13449</Words>
  <Characters>14725</Characters>
  <Lines>0</Lines>
  <Paragraphs>0</Paragraphs>
  <TotalTime>2</TotalTime>
  <ScaleCrop>false</ScaleCrop>
  <LinksUpToDate>false</LinksUpToDate>
  <CharactersWithSpaces>14885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2024-01-09T13:07:00Z</dcterms:created>
  <dc:creator>Administrator</dc:creator>
  <cp:lastModifiedBy>LONG</cp:lastModifiedBy>
  <cp:lastPrinted>2025-11-01T15:10:00Z</cp:lastPrinted>
  <dcterms:modified xsi:type="dcterms:W3CDTF">2025-12-05T09:41:03Z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F0B1B2553927733B2F383269D7EB7A8D</vt:lpwstr>
  </property>
  <property fmtid="{D5CDD505-2E9C-101B-9397-08002B2CF9AE}" pid="4" name="KSOTemplateDocerSaveRecord">
    <vt:lpwstr>eyJoZGlkIjoiNzdlMWNmNmE2YTVmOGM2YTQxNzczNTRjMjA0YTcwMjYiLCJ1c2VySWQiOiIyNjUxNTIwNDQifQ==</vt:lpwstr>
  </property>
</Properties>
</file>