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1002" w:tblpY="985"/>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241"/>
        <w:gridCol w:w="1225"/>
        <w:gridCol w:w="1237"/>
        <w:gridCol w:w="1300"/>
        <w:gridCol w:w="2438"/>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41"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122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1237"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130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2438"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6939"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1" w:hRule="atLeast"/>
        </w:trPr>
        <w:tc>
          <w:tcPr>
            <w:tcW w:w="375" w:type="dxa"/>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w:t>
            </w:r>
          </w:p>
        </w:tc>
        <w:tc>
          <w:tcPr>
            <w:tcW w:w="124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宁夏回族自治区人民医院宁南医院污水处理新建项目</w:t>
            </w:r>
          </w:p>
        </w:tc>
        <w:tc>
          <w:tcPr>
            <w:tcW w:w="122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宁夏回族自治区中卫市海兴开发区</w:t>
            </w:r>
          </w:p>
        </w:tc>
        <w:tc>
          <w:tcPr>
            <w:tcW w:w="123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宁夏回族自治区人民医院</w:t>
            </w:r>
          </w:p>
        </w:tc>
        <w:tc>
          <w:tcPr>
            <w:tcW w:w="1300" w:type="dxa"/>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宁夏中科安创科技有限公司</w:t>
            </w:r>
          </w:p>
        </w:tc>
        <w:tc>
          <w:tcPr>
            <w:tcW w:w="2438" w:type="dxa"/>
            <w:vAlign w:val="center"/>
          </w:tcPr>
          <w:p>
            <w:pPr>
              <w:ind w:firstLine="480" w:firstLineChars="20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随着周边经济发展和院区配套设施的逐步完善，现有污水处理系统的处理能力无法满足医院即将投运洗衣房及远期发展规划需求，因此拟在医院内新建一座污水处理站。新建污水处理站工程位于医院内北侧围墙边，现有污水处理站以东的绿化带内。计处理能力800m</w:t>
            </w:r>
            <w:r>
              <w:rPr>
                <w:rFonts w:hint="eastAsia" w:ascii="仿宋_GB2312" w:hAnsi="仿宋_GB2312" w:eastAsia="仿宋_GB2312" w:cs="仿宋_GB2312"/>
                <w:color w:val="auto"/>
                <w:kern w:val="2"/>
                <w:sz w:val="24"/>
                <w:szCs w:val="24"/>
                <w:vertAlign w:val="superscript"/>
                <w:lang w:val="en-US" w:eastAsia="zh-CN" w:bidi="ar-SA"/>
              </w:rPr>
              <w:t>3</w:t>
            </w:r>
            <w:r>
              <w:rPr>
                <w:rFonts w:hint="eastAsia" w:ascii="仿宋_GB2312" w:hAnsi="仿宋_GB2312" w:eastAsia="仿宋_GB2312" w:cs="仿宋_GB2312"/>
                <w:color w:val="auto"/>
                <w:kern w:val="2"/>
                <w:sz w:val="24"/>
                <w:szCs w:val="24"/>
                <w:lang w:val="en-US" w:eastAsia="zh-CN" w:bidi="ar-SA"/>
              </w:rPr>
              <w:t>/d，污水处理站采用两组并联运行方式，单组处理能力400m</w:t>
            </w:r>
            <w:r>
              <w:rPr>
                <w:rFonts w:hint="eastAsia" w:ascii="仿宋_GB2312" w:hAnsi="仿宋_GB2312" w:eastAsia="仿宋_GB2312" w:cs="仿宋_GB2312"/>
                <w:color w:val="auto"/>
                <w:kern w:val="2"/>
                <w:sz w:val="24"/>
                <w:szCs w:val="24"/>
                <w:vertAlign w:val="superscript"/>
                <w:lang w:val="en-US" w:eastAsia="zh-CN" w:bidi="ar-SA"/>
              </w:rPr>
              <w:t>3</w:t>
            </w:r>
            <w:r>
              <w:rPr>
                <w:rFonts w:hint="eastAsia" w:ascii="仿宋_GB2312" w:hAnsi="仿宋_GB2312" w:eastAsia="仿宋_GB2312" w:cs="仿宋_GB2312"/>
                <w:color w:val="auto"/>
                <w:kern w:val="2"/>
                <w:sz w:val="24"/>
                <w:szCs w:val="24"/>
                <w:lang w:val="en-US" w:eastAsia="zh-CN" w:bidi="ar-SA"/>
              </w:rPr>
              <w:t>/d，处理出水达到《医疗机构水污染排放标准GB18466-2005》表2预处理标准，处理后尾水经原污水总排口排入市政污水管网，进入海兴开发区污水处理厂处理。本项目建成后现有污水处理站不再使用，暂不拆除。</w:t>
            </w:r>
          </w:p>
        </w:tc>
        <w:tc>
          <w:tcPr>
            <w:tcW w:w="6939" w:type="dxa"/>
            <w:vAlign w:val="center"/>
          </w:tcPr>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废水：医院废水经本项目新建污水处理站站处理，医院废水经过细格栅截留掉较大漂浮物后进入调节池，进行水量水质调节；调节池出水经膜格栅去除较小漂浮物、颗粒悬浮物等，然后进入水解池，提高污水可生化性，水解池出水进入好氧池，利用活性污泥对有机物、TN、TP等污染物进行分解、去除，好氧池自流进入MBR膜池，经过MBR膜过滤后，经MBR产水泵进入消毒池；污水在消毒池内与消毒剂充分接触消毒、杀菌后，主要污染物指标达到《医疗机构水污染物排放标准》（GB18466-2005）中的表2预处理标准。尾水经巴氏计量槽排放至市政污水管网。</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废气：该项目针对主要恶臭排放单元采取等离子除臭系统。主要包括：臭气收集及输送系统、等离子除臭设备、引风机和排放筒。据废气污染物源强分析，本项目有组织废气在采取“低温等离子除臭系统+15m排气筒”措施收集处理后，有组织排放的废气中NH3、H2S和臭气浓度等恶臭污染物可满足《恶臭污染物排放标准》（GB14554-93）表2排放标准要求。未有效收集的污染物以无组织形式排放，NH3、H2S和臭气浓度的排放可满足《医疗机构水污染物排放标准》（GB18466-2005）表3污水处理站周边大气污染物最高允许浓度标准值。</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噪声：本项目生产设备均设置在污水处理站内，污水处理站周边50m范围内无声环境敏感目标，采取降噪措施后，厂界处昼间噪声可达到《工业企业厂界环境噪声排放标准》（GB12348-2008）中2类标准（即昼间≤60dB（A），夜间≤50dB（A））。</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lang w:val="en-US" w:eastAsia="zh-CN"/>
              </w:rPr>
            </w:pPr>
            <w:r>
              <w:rPr>
                <w:rFonts w:hint="default" w:ascii="仿宋_GB2312" w:hAnsi="仿宋_GB2312" w:eastAsia="仿宋_GB2312" w:cs="仿宋_GB2312"/>
                <w:color w:val="auto"/>
                <w:kern w:val="2"/>
                <w:sz w:val="24"/>
                <w:szCs w:val="24"/>
                <w:lang w:val="en-US" w:eastAsia="zh-CN" w:bidi="ar-SA"/>
              </w:rPr>
              <w:t>固体废物</w:t>
            </w:r>
            <w:r>
              <w:rPr>
                <w:rFonts w:hint="eastAsia" w:ascii="仿宋_GB2312" w:hAnsi="仿宋_GB2312" w:eastAsia="仿宋_GB2312" w:cs="仿宋_GB2312"/>
                <w:color w:val="auto"/>
                <w:kern w:val="2"/>
                <w:sz w:val="24"/>
                <w:szCs w:val="24"/>
                <w:lang w:val="en-US" w:eastAsia="zh-CN" w:bidi="ar-SA"/>
              </w:rPr>
              <w:t>：本项目运营期产生的固体废物主要为污水处理格栅渣、污水处理站污泥消毒处理后暂存于医院现有医疗废物暂存间（60m2），定期交由中卫市新洁垃圾处理有限公司处置；</w:t>
            </w:r>
            <w:r>
              <w:rPr>
                <w:rFonts w:hint="default" w:ascii="仿宋_GB2312" w:hAnsi="仿宋_GB2312" w:eastAsia="仿宋_GB2312" w:cs="仿宋_GB2312"/>
                <w:color w:val="auto"/>
                <w:kern w:val="2"/>
                <w:sz w:val="24"/>
                <w:szCs w:val="24"/>
                <w:lang w:val="en-US" w:eastAsia="zh-CN" w:bidi="ar-SA"/>
              </w:rPr>
              <w:t>废</w:t>
            </w:r>
            <w:r>
              <w:rPr>
                <w:rFonts w:hint="eastAsia" w:ascii="仿宋_GB2312" w:hAnsi="仿宋_GB2312" w:eastAsia="仿宋_GB2312" w:cs="仿宋_GB2312"/>
                <w:color w:val="auto"/>
                <w:kern w:val="2"/>
                <w:sz w:val="24"/>
                <w:szCs w:val="24"/>
                <w:lang w:val="en-US" w:eastAsia="zh-CN" w:bidi="ar-SA"/>
              </w:rPr>
              <w:t>MBR</w:t>
            </w:r>
            <w:r>
              <w:rPr>
                <w:rFonts w:hint="default" w:ascii="仿宋_GB2312" w:hAnsi="仿宋_GB2312" w:eastAsia="仿宋_GB2312" w:cs="仿宋_GB2312"/>
                <w:color w:val="auto"/>
                <w:kern w:val="2"/>
                <w:sz w:val="24"/>
                <w:szCs w:val="24"/>
                <w:lang w:val="en-US" w:eastAsia="zh-CN" w:bidi="ar-SA"/>
              </w:rPr>
              <w:t>膜每5-8年更换一次，由有资质单位更换并处置</w:t>
            </w:r>
            <w:r>
              <w:rPr>
                <w:rFonts w:hint="eastAsia" w:ascii="仿宋_GB2312" w:hAnsi="仿宋_GB2312" w:eastAsia="仿宋_GB2312" w:cs="仿宋_GB2312"/>
                <w:color w:val="auto"/>
                <w:kern w:val="2"/>
                <w:sz w:val="24"/>
                <w:szCs w:val="24"/>
                <w:lang w:val="en-US" w:eastAsia="zh-CN" w:bidi="ar-SA"/>
              </w:rPr>
              <w:t>。</w:t>
            </w:r>
          </w:p>
        </w:tc>
      </w:tr>
    </w:tbl>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p>
      <w:pPr>
        <w:pStyle w:val="16"/>
        <w:ind w:firstLine="0" w:firstLineChars="0"/>
        <w:rPr>
          <w:rFonts w:hint="eastAsia" w:ascii="仿宋_GB2312" w:hAnsi="仿宋_GB2312" w:eastAsia="仿宋_GB2312" w:cs="仿宋_GB2312"/>
          <w:sz w:val="32"/>
          <w:szCs w:val="32"/>
        </w:rPr>
      </w:pPr>
      <w:bookmarkStart w:id="0" w:name="_GoBack"/>
      <w:bookmarkEnd w:id="0"/>
    </w:p>
    <w:sectPr>
      <w:pgSz w:w="16838" w:h="11906" w:orient="landscape"/>
      <w:pgMar w:top="283" w:right="1157"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YTFiYTJlNGMxNTc4NDBiY2NhZDg0NzcwODc0YWUifQ=="/>
  </w:docVars>
  <w:rsids>
    <w:rsidRoot w:val="080E7B1F"/>
    <w:rsid w:val="002B2BE2"/>
    <w:rsid w:val="00407B3D"/>
    <w:rsid w:val="00506CDD"/>
    <w:rsid w:val="0210321C"/>
    <w:rsid w:val="025666DE"/>
    <w:rsid w:val="041A4B69"/>
    <w:rsid w:val="04CB4029"/>
    <w:rsid w:val="07883AA3"/>
    <w:rsid w:val="07B60F75"/>
    <w:rsid w:val="07BD7601"/>
    <w:rsid w:val="080E7B1F"/>
    <w:rsid w:val="08A76EF7"/>
    <w:rsid w:val="08B44B57"/>
    <w:rsid w:val="0A745713"/>
    <w:rsid w:val="0ACB0F75"/>
    <w:rsid w:val="0B731EED"/>
    <w:rsid w:val="0D164F83"/>
    <w:rsid w:val="0E6226F7"/>
    <w:rsid w:val="0EB54ECC"/>
    <w:rsid w:val="0F872CE8"/>
    <w:rsid w:val="1059048B"/>
    <w:rsid w:val="11100073"/>
    <w:rsid w:val="1285750E"/>
    <w:rsid w:val="14A0682A"/>
    <w:rsid w:val="1564628A"/>
    <w:rsid w:val="15FA74E9"/>
    <w:rsid w:val="16804237"/>
    <w:rsid w:val="16FB0F92"/>
    <w:rsid w:val="1784188A"/>
    <w:rsid w:val="181E54C4"/>
    <w:rsid w:val="1B09140A"/>
    <w:rsid w:val="1B5843F4"/>
    <w:rsid w:val="1B972A0D"/>
    <w:rsid w:val="1BBE30B8"/>
    <w:rsid w:val="1FBD5958"/>
    <w:rsid w:val="1FD255CD"/>
    <w:rsid w:val="210C5746"/>
    <w:rsid w:val="26CB3A64"/>
    <w:rsid w:val="274026F8"/>
    <w:rsid w:val="27A96F47"/>
    <w:rsid w:val="2AE84B5C"/>
    <w:rsid w:val="2B054E4E"/>
    <w:rsid w:val="2C7D0568"/>
    <w:rsid w:val="2E7203C8"/>
    <w:rsid w:val="2FAA64AB"/>
    <w:rsid w:val="311779D7"/>
    <w:rsid w:val="32992A21"/>
    <w:rsid w:val="32DE2F9B"/>
    <w:rsid w:val="331B2029"/>
    <w:rsid w:val="33A40956"/>
    <w:rsid w:val="348A6935"/>
    <w:rsid w:val="366F7121"/>
    <w:rsid w:val="375564CF"/>
    <w:rsid w:val="37F92B6D"/>
    <w:rsid w:val="3A8A0CF6"/>
    <w:rsid w:val="3B9A4CFB"/>
    <w:rsid w:val="3D5B56FC"/>
    <w:rsid w:val="3E6071EC"/>
    <w:rsid w:val="3F7A7718"/>
    <w:rsid w:val="3FEE324A"/>
    <w:rsid w:val="40283D99"/>
    <w:rsid w:val="4157311A"/>
    <w:rsid w:val="418D716C"/>
    <w:rsid w:val="41D3159C"/>
    <w:rsid w:val="422505D8"/>
    <w:rsid w:val="424E44C8"/>
    <w:rsid w:val="45552E54"/>
    <w:rsid w:val="45CD2A1A"/>
    <w:rsid w:val="46433569"/>
    <w:rsid w:val="47163DD9"/>
    <w:rsid w:val="480B3280"/>
    <w:rsid w:val="48EB6321"/>
    <w:rsid w:val="49721BE6"/>
    <w:rsid w:val="4E065115"/>
    <w:rsid w:val="4E146C4B"/>
    <w:rsid w:val="4EB242E9"/>
    <w:rsid w:val="4F7A7C5B"/>
    <w:rsid w:val="51A807E4"/>
    <w:rsid w:val="53CA2DA6"/>
    <w:rsid w:val="541C0D00"/>
    <w:rsid w:val="55C5563B"/>
    <w:rsid w:val="55CA5EB7"/>
    <w:rsid w:val="5614122C"/>
    <w:rsid w:val="568A3BF9"/>
    <w:rsid w:val="59314455"/>
    <w:rsid w:val="5BF70B72"/>
    <w:rsid w:val="5CA139A4"/>
    <w:rsid w:val="5E177132"/>
    <w:rsid w:val="60E05C0B"/>
    <w:rsid w:val="61512E34"/>
    <w:rsid w:val="631445C1"/>
    <w:rsid w:val="639B42E9"/>
    <w:rsid w:val="63B757A8"/>
    <w:rsid w:val="6584425F"/>
    <w:rsid w:val="679E78B0"/>
    <w:rsid w:val="67B72A24"/>
    <w:rsid w:val="67D521D9"/>
    <w:rsid w:val="6831170C"/>
    <w:rsid w:val="686D054C"/>
    <w:rsid w:val="691A59EE"/>
    <w:rsid w:val="6A5817BE"/>
    <w:rsid w:val="6A864AC1"/>
    <w:rsid w:val="6AD02EDB"/>
    <w:rsid w:val="6E7853B1"/>
    <w:rsid w:val="6FD8457F"/>
    <w:rsid w:val="7069615F"/>
    <w:rsid w:val="70A90B19"/>
    <w:rsid w:val="70AF0C51"/>
    <w:rsid w:val="731F1ACF"/>
    <w:rsid w:val="73377338"/>
    <w:rsid w:val="74360436"/>
    <w:rsid w:val="74664BAC"/>
    <w:rsid w:val="756B742A"/>
    <w:rsid w:val="75B33643"/>
    <w:rsid w:val="764B09F2"/>
    <w:rsid w:val="77C25799"/>
    <w:rsid w:val="780B6871"/>
    <w:rsid w:val="78C755C4"/>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3"/>
    <w:next w:val="1"/>
    <w:qFormat/>
    <w:uiPriority w:val="99"/>
    <w:pPr>
      <w:tabs>
        <w:tab w:val="left" w:pos="4584"/>
      </w:tabs>
      <w:spacing w:line="360" w:lineRule="auto"/>
      <w:ind w:firstLine="480" w:firstLineChars="200"/>
    </w:pPr>
    <w:rPr>
      <w:sz w:val="24"/>
    </w:rPr>
  </w:style>
  <w:style w:type="paragraph" w:customStyle="1" w:styleId="3">
    <w:name w:val="正文(首行缩进)"/>
    <w:basedOn w:val="1"/>
    <w:qFormat/>
    <w:uiPriority w:val="0"/>
    <w:pPr>
      <w:tabs>
        <w:tab w:val="left" w:pos="4584"/>
      </w:tabs>
      <w:adjustRightInd w:val="0"/>
      <w:snapToGrid w:val="0"/>
      <w:jc w:val="center"/>
    </w:pPr>
    <w:rPr>
      <w:rFonts w:ascii="宋体" w:hAnsi="宋体"/>
      <w:snapToGrid w:val="0"/>
      <w:kern w:val="0"/>
      <w:sz w:val="20"/>
      <w:szCs w:val="21"/>
    </w:rPr>
  </w:style>
  <w:style w:type="paragraph" w:styleId="4">
    <w:name w:val="Normal Indent"/>
    <w:basedOn w:val="1"/>
    <w:next w:val="5"/>
    <w:unhideWhenUsed/>
    <w:qFormat/>
    <w:uiPriority w:val="0"/>
    <w:pPr>
      <w:ind w:firstLine="420" w:firstLineChars="200"/>
    </w:pPr>
  </w:style>
  <w:style w:type="paragraph" w:customStyle="1" w:styleId="5">
    <w:name w:val="正文1"/>
    <w:basedOn w:val="1"/>
    <w:next w:val="1"/>
    <w:qFormat/>
    <w:uiPriority w:val="0"/>
    <w:pPr>
      <w:spacing w:line="360" w:lineRule="auto"/>
      <w:ind w:firstLine="480" w:firstLineChars="200"/>
    </w:pPr>
    <w:rPr>
      <w:kern w:val="0"/>
      <w:sz w:val="20"/>
      <w:szCs w:val="20"/>
    </w:rPr>
  </w:style>
  <w:style w:type="paragraph" w:styleId="6">
    <w:name w:val="Body Text"/>
    <w:basedOn w:val="1"/>
    <w:next w:val="7"/>
    <w:qFormat/>
    <w:uiPriority w:val="0"/>
    <w:pPr>
      <w:spacing w:line="520" w:lineRule="exact"/>
      <w:ind w:firstLine="200" w:firstLineChars="200"/>
    </w:pPr>
    <w:rPr>
      <w:sz w:val="28"/>
    </w:rPr>
  </w:style>
  <w:style w:type="paragraph" w:customStyle="1" w:styleId="7">
    <w:name w:val="Date1"/>
    <w:basedOn w:val="1"/>
    <w:next w:val="1"/>
    <w:qFormat/>
    <w:uiPriority w:val="0"/>
    <w:pPr>
      <w:adjustRightInd w:val="0"/>
      <w:jc w:val="left"/>
      <w:textAlignment w:val="baseline"/>
    </w:pPr>
    <w:rPr>
      <w:rFonts w:ascii="宋体" w:hAnsi="宋体"/>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index heading"/>
    <w:basedOn w:val="1"/>
    <w:next w:val="10"/>
    <w:qFormat/>
    <w:uiPriority w:val="0"/>
    <w:rPr>
      <w:rFonts w:ascii="Arial" w:hAnsi="Arial"/>
      <w:b/>
    </w:rPr>
  </w:style>
  <w:style w:type="paragraph" w:styleId="10">
    <w:name w:val="index 1"/>
    <w:basedOn w:val="1"/>
    <w:next w:val="1"/>
    <w:qFormat/>
    <w:uiPriority w:val="0"/>
    <w:pPr>
      <w:adjustRightInd w:val="0"/>
      <w:spacing w:line="240" w:lineRule="atLeast"/>
      <w:jc w:val="center"/>
      <w:textAlignment w:val="baseline"/>
    </w:pPr>
    <w:rPr>
      <w:rFonts w:ascii="宋体" w:hAnsi="宋体"/>
      <w:kern w:val="0"/>
    </w:rPr>
  </w:style>
  <w:style w:type="paragraph" w:styleId="11">
    <w:name w:val="Body Text First Indent 2"/>
    <w:basedOn w:val="1"/>
    <w:next w:val="1"/>
    <w:unhideWhenUsed/>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章标题"/>
    <w:next w:val="16"/>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16">
    <w:name w:val="段"/>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17">
    <w:name w:val="Default"/>
    <w:basedOn w:val="1"/>
    <w:next w:val="9"/>
    <w:qFormat/>
    <w:uiPriority w:val="0"/>
    <w:pPr>
      <w:autoSpaceDE w:val="0"/>
      <w:autoSpaceDN w:val="0"/>
      <w:adjustRightInd w:val="0"/>
      <w:jc w:val="left"/>
    </w:pPr>
    <w:rPr>
      <w:rFonts w:hint="eastAsia" w:asci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1031</Words>
  <Characters>1130</Characters>
  <Lines>6</Lines>
  <Paragraphs>1</Paragraphs>
  <TotalTime>1</TotalTime>
  <ScaleCrop>false</ScaleCrop>
  <LinksUpToDate>false</LinksUpToDate>
  <CharactersWithSpaces>1130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I❥•  FeLo</cp:lastModifiedBy>
  <dcterms:modified xsi:type="dcterms:W3CDTF">2023-02-10T09:58:18Z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9377FBDC6D004B8791A950C789908B99</vt:lpwstr>
  </property>
</Properties>
</file>