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8"/>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766"/>
        <w:gridCol w:w="725"/>
        <w:gridCol w:w="875"/>
        <w:gridCol w:w="987"/>
        <w:gridCol w:w="1100"/>
        <w:gridCol w:w="9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766"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bookmarkStart w:id="0" w:name="_GoBack"/>
            <w:bookmarkEnd w:id="0"/>
          </w:p>
        </w:tc>
        <w:tc>
          <w:tcPr>
            <w:tcW w:w="72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8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987"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110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9927"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trPr>
        <w:tc>
          <w:tcPr>
            <w:tcW w:w="375" w:type="dxa"/>
            <w:vAlign w:val="center"/>
          </w:tcPr>
          <w:p>
            <w:pPr>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w:t>
            </w:r>
          </w:p>
        </w:tc>
        <w:tc>
          <w:tcPr>
            <w:tcW w:w="766"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S50海原至平川（宁甘界）公路二标段项目3#站（水稳拌合站、沥青拌合站）-海原县甘盐池管委会项目</w:t>
            </w:r>
          </w:p>
        </w:tc>
        <w:tc>
          <w:tcPr>
            <w:tcW w:w="725"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海原县种羊场盐池村</w:t>
            </w:r>
          </w:p>
        </w:tc>
        <w:tc>
          <w:tcPr>
            <w:tcW w:w="875"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宁夏交通建设股份有限公司S50海原至平川（宁甘界）公路二标段项目部</w:t>
            </w:r>
          </w:p>
        </w:tc>
        <w:tc>
          <w:tcPr>
            <w:tcW w:w="987"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驰久（宁夏）环保科技有限公司</w:t>
            </w:r>
          </w:p>
        </w:tc>
        <w:tc>
          <w:tcPr>
            <w:tcW w:w="1100" w:type="dxa"/>
            <w:vAlign w:val="center"/>
          </w:tcPr>
          <w:p>
            <w:pPr>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项目建设规模为年生产沥青混凝土12万m</w:t>
            </w:r>
            <w:r>
              <w:rPr>
                <w:rFonts w:hint="eastAsia" w:ascii="仿宋_GB2312" w:hAnsi="仿宋_GB2312" w:eastAsia="仿宋_GB2312" w:cs="仿宋_GB2312"/>
                <w:color w:val="auto"/>
                <w:kern w:val="2"/>
                <w:sz w:val="21"/>
                <w:szCs w:val="21"/>
                <w:vertAlign w:val="superscript"/>
                <w:lang w:val="en-US" w:eastAsia="zh-CN" w:bidi="ar-SA"/>
              </w:rPr>
              <w:t>3</w:t>
            </w:r>
            <w:r>
              <w:rPr>
                <w:rFonts w:hint="eastAsia" w:ascii="仿宋_GB2312" w:hAnsi="仿宋_GB2312" w:eastAsia="仿宋_GB2312" w:cs="仿宋_GB2312"/>
                <w:color w:val="auto"/>
                <w:kern w:val="2"/>
                <w:sz w:val="21"/>
                <w:szCs w:val="21"/>
                <w:lang w:val="en-US" w:eastAsia="zh-CN" w:bidi="ar-SA"/>
              </w:rPr>
              <w:t>/a、水泥稳定土55万m</w:t>
            </w:r>
            <w:r>
              <w:rPr>
                <w:rFonts w:hint="eastAsia" w:ascii="仿宋_GB2312" w:hAnsi="仿宋_GB2312" w:eastAsia="仿宋_GB2312" w:cs="仿宋_GB2312"/>
                <w:color w:val="auto"/>
                <w:kern w:val="2"/>
                <w:sz w:val="21"/>
                <w:szCs w:val="21"/>
                <w:vertAlign w:val="superscript"/>
                <w:lang w:val="en-US" w:eastAsia="zh-CN" w:bidi="ar-SA"/>
              </w:rPr>
              <w:t>3</w:t>
            </w:r>
            <w:r>
              <w:rPr>
                <w:rFonts w:hint="eastAsia" w:ascii="仿宋_GB2312" w:hAnsi="仿宋_GB2312" w:eastAsia="仿宋_GB2312" w:cs="仿宋_GB2312"/>
                <w:color w:val="auto"/>
                <w:kern w:val="2"/>
                <w:sz w:val="21"/>
                <w:szCs w:val="21"/>
                <w:lang w:val="en-US" w:eastAsia="zh-CN" w:bidi="ar-SA"/>
              </w:rPr>
              <w:t>/a。主要建设内容包括水泥混凝土拌合站、沥青混凝土拌合站等。项目计划投资220万元，其中环保投资122.0万元，环保投资占55.45%。</w:t>
            </w:r>
          </w:p>
        </w:tc>
        <w:tc>
          <w:tcPr>
            <w:tcW w:w="9927" w:type="dxa"/>
            <w:vAlign w:val="center"/>
          </w:tcPr>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color w:val="auto"/>
                <w:kern w:val="2"/>
                <w:sz w:val="21"/>
                <w:szCs w:val="21"/>
                <w:lang w:val="en-US" w:eastAsia="zh-CN" w:bidi="ar-SA"/>
              </w:rPr>
              <w:t>、项目施工期严格按照《报告表》要求落实噪声、粉尘、固体废物等各项污染物防治及生态保护措施，加强施工期环境管理，合理安排施工时间，减少施工期粉尘、噪声污染，降低生态环境影响。</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2、项目运营期间废气主要为水泥稳定土料仓、筒仓装卸粉尘、搅拌废气，</w:t>
            </w:r>
            <w:r>
              <w:rPr>
                <w:rFonts w:hint="eastAsia" w:ascii="仿宋_GB2312" w:hAnsi="仿宋_GB2312" w:eastAsia="仿宋_GB2312" w:cs="仿宋_GB2312"/>
                <w:color w:val="auto"/>
                <w:kern w:val="2"/>
                <w:sz w:val="21"/>
                <w:szCs w:val="21"/>
                <w:lang w:val="en-US" w:eastAsia="zh-CN" w:bidi="ar-SA"/>
              </w:rPr>
              <w:t>沥青拌合站料仓、筒仓装卸粉尘</w:t>
            </w:r>
            <w:r>
              <w:rPr>
                <w:rFonts w:hint="eastAsia" w:ascii="仿宋_GB2312" w:hAnsi="仿宋_GB2312" w:eastAsia="仿宋_GB2312" w:cs="仿宋_GB2312"/>
                <w:color w:val="auto"/>
                <w:kern w:val="2"/>
                <w:sz w:val="21"/>
                <w:szCs w:val="21"/>
                <w:lang w:val="en-US" w:eastAsia="zh-CN" w:bidi="ar-SA"/>
              </w:rPr>
              <w:t>、骨料烘干废气、筛分废气、沥青罐装卸及搅拌废气、导热油锅炉燃烧废气及车辆运输废气。项目</w:t>
            </w:r>
            <w:r>
              <w:rPr>
                <w:rFonts w:hint="eastAsia" w:ascii="仿宋_GB2312" w:hAnsi="仿宋_GB2312" w:eastAsia="仿宋_GB2312" w:cs="仿宋_GB2312"/>
                <w:color w:val="auto"/>
                <w:kern w:val="2"/>
                <w:sz w:val="21"/>
                <w:szCs w:val="21"/>
                <w:lang w:val="en-US" w:eastAsia="zh-CN" w:bidi="ar-SA"/>
              </w:rPr>
              <w:t>料仓采用全封闭式建设，上料斗等设备均置于料仓内，并定期进行洒水降尘，使砂石料保持一定的湿度。筒仓自带仓顶振动滤芯式除尘器，废气处理后经筒仓顶部呼吸孔(15m）排放。</w:t>
            </w:r>
            <w:r>
              <w:rPr>
                <w:rFonts w:hint="eastAsia" w:ascii="仿宋_GB2312" w:hAnsi="仿宋_GB2312" w:eastAsia="仿宋_GB2312" w:cs="仿宋_GB2312"/>
                <w:color w:val="auto"/>
                <w:kern w:val="2"/>
                <w:sz w:val="21"/>
                <w:szCs w:val="21"/>
                <w:lang w:val="en-US" w:eastAsia="zh-CN" w:bidi="ar-SA"/>
              </w:rPr>
              <w:t>水泥稳定土搅拌过程采用全封闭式搅拌机，物料经密闭式输送廊道由皮带输送至计量、搅拌工序，采用湿料搅拌。</w:t>
            </w:r>
            <w:r>
              <w:rPr>
                <w:rFonts w:hint="eastAsia" w:ascii="仿宋_GB2312" w:hAnsi="仿宋_GB2312" w:eastAsia="仿宋_GB2312" w:cs="仿宋_GB2312"/>
                <w:color w:val="auto"/>
                <w:kern w:val="2"/>
                <w:sz w:val="21"/>
                <w:szCs w:val="21"/>
                <w:lang w:val="en-US" w:eastAsia="zh-CN" w:bidi="ar-SA"/>
              </w:rPr>
              <w:t>沥青拌合站沥青罐及搅拌废气经管道汇至烘干筒内燃烧处置后与骨料烘干燃烧天然气产生的废气、烘干粉尘、骨料筛分粉尘经布袋除尘器处理后经15m高排气筒排放，导热油锅炉安装8m高排气筒。运输车辆全密闭</w:t>
            </w:r>
            <w:r>
              <w:rPr>
                <w:rFonts w:hint="eastAsia" w:ascii="仿宋_GB2312" w:hAnsi="仿宋_GB2312" w:eastAsia="仿宋_GB2312" w:cs="仿宋_GB2312"/>
                <w:color w:val="auto"/>
                <w:kern w:val="2"/>
                <w:sz w:val="21"/>
                <w:szCs w:val="21"/>
                <w:lang w:val="en-US" w:eastAsia="zh-CN" w:bidi="ar-SA"/>
              </w:rPr>
              <w:t>，厂区出口设置洗车平台</w:t>
            </w:r>
            <w:r>
              <w:rPr>
                <w:rFonts w:hint="eastAsia" w:ascii="仿宋_GB2312" w:hAnsi="仿宋_GB2312" w:eastAsia="仿宋_GB2312" w:cs="仿宋_GB2312"/>
                <w:color w:val="auto"/>
                <w:kern w:val="2"/>
                <w:sz w:val="21"/>
                <w:szCs w:val="21"/>
                <w:lang w:val="en-US" w:eastAsia="zh-CN" w:bidi="ar-SA"/>
              </w:rPr>
              <w:t>；</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项目</w:t>
            </w:r>
            <w:r>
              <w:rPr>
                <w:rFonts w:hint="eastAsia" w:ascii="仿宋_GB2312" w:hAnsi="仿宋_GB2312" w:eastAsia="仿宋_GB2312" w:cs="仿宋_GB2312"/>
                <w:color w:val="auto"/>
                <w:kern w:val="2"/>
                <w:sz w:val="21"/>
                <w:szCs w:val="21"/>
                <w:lang w:val="en-US" w:eastAsia="zh-CN" w:bidi="ar-SA"/>
              </w:rPr>
              <w:t>水泥稳定土筒仓颗粒物执行《水泥工业大气污染物排放标准》（GB4915-2013）表1中的排放标准，无组织执行表3中的排放标准</w:t>
            </w:r>
            <w:r>
              <w:rPr>
                <w:rFonts w:hint="eastAsia" w:ascii="仿宋_GB2312" w:hAnsi="仿宋_GB2312" w:eastAsia="仿宋_GB2312" w:cs="仿宋_GB2312"/>
                <w:color w:val="auto"/>
                <w:kern w:val="2"/>
                <w:sz w:val="21"/>
                <w:szCs w:val="21"/>
                <w:lang w:val="en-US" w:eastAsia="zh-CN" w:bidi="ar-SA"/>
              </w:rPr>
              <w:t>；</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沥青混凝土</w:t>
            </w:r>
            <w:r>
              <w:rPr>
                <w:rFonts w:hint="eastAsia" w:ascii="仿宋_GB2312" w:hAnsi="仿宋_GB2312" w:eastAsia="仿宋_GB2312" w:cs="仿宋_GB2312"/>
                <w:color w:val="auto"/>
                <w:kern w:val="2"/>
                <w:sz w:val="21"/>
                <w:szCs w:val="21"/>
                <w:lang w:val="en-US" w:eastAsia="zh-CN" w:bidi="ar-SA"/>
              </w:rPr>
              <w:t>生产线骨料下料输送、骨料烘干、筛分产生的粉尘</w:t>
            </w:r>
            <w:r>
              <w:rPr>
                <w:rFonts w:hint="eastAsia" w:ascii="仿宋_GB2312" w:hAnsi="仿宋_GB2312" w:eastAsia="仿宋_GB2312" w:cs="仿宋_GB2312"/>
                <w:color w:val="auto"/>
                <w:kern w:val="2"/>
                <w:sz w:val="21"/>
                <w:szCs w:val="21"/>
                <w:lang w:val="en-US" w:eastAsia="zh-CN" w:bidi="ar-SA"/>
              </w:rPr>
              <w:t>及沥青罐和出料口产生的沥青烟、苯并[a]芘执行《大气污染物综合排放标准》（GB16297-1996）中二级标准。</w:t>
            </w:r>
            <w:r>
              <w:rPr>
                <w:rFonts w:hint="eastAsia" w:ascii="仿宋_GB2312" w:hAnsi="仿宋_GB2312" w:eastAsia="仿宋_GB2312" w:cs="仿宋_GB2312"/>
                <w:color w:val="auto"/>
                <w:kern w:val="2"/>
                <w:sz w:val="21"/>
                <w:szCs w:val="21"/>
                <w:lang w:val="en-US" w:eastAsia="zh-CN" w:bidi="ar-SA"/>
              </w:rPr>
              <w:t>骨料烘干过程中天然气燃烧产生的</w:t>
            </w:r>
            <w:r>
              <w:rPr>
                <w:rFonts w:hint="eastAsia" w:ascii="仿宋_GB2312" w:hAnsi="仿宋_GB2312" w:eastAsia="仿宋_GB2312" w:cs="仿宋_GB2312"/>
                <w:color w:val="auto"/>
                <w:kern w:val="2"/>
                <w:sz w:val="21"/>
                <w:szCs w:val="21"/>
                <w:lang w:val="en-US" w:eastAsia="zh-CN" w:bidi="ar-SA"/>
              </w:rPr>
              <w:t>烟气参考《工业炉窑大气污染综合治理方案》（环大气〔2019〕56号）中重点区域污染物浓度限值。导热油炉颗粒物、SO</w:t>
            </w:r>
            <w:r>
              <w:rPr>
                <w:rFonts w:hint="eastAsia" w:ascii="仿宋_GB2312" w:hAnsi="仿宋_GB2312" w:eastAsia="仿宋_GB2312" w:cs="仿宋_GB2312"/>
                <w:color w:val="auto"/>
                <w:kern w:val="2"/>
                <w:sz w:val="21"/>
                <w:szCs w:val="21"/>
                <w:vertAlign w:val="subscript"/>
                <w:lang w:val="en-US" w:eastAsia="zh-CN" w:bidi="ar-SA"/>
              </w:rPr>
              <w:t>2</w:t>
            </w:r>
            <w:r>
              <w:rPr>
                <w:rFonts w:hint="eastAsia" w:ascii="仿宋_GB2312" w:hAnsi="仿宋_GB2312" w:eastAsia="仿宋_GB2312" w:cs="仿宋_GB2312"/>
                <w:color w:val="auto"/>
                <w:kern w:val="2"/>
                <w:sz w:val="21"/>
                <w:szCs w:val="21"/>
                <w:lang w:val="en-US" w:eastAsia="zh-CN" w:bidi="ar-SA"/>
              </w:rPr>
              <w:t>、NOx执行《锅炉大气污染物排放标准》(GB13271-2014)表3中大气污染物排放限值。</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3、本项目运营期废水主要为砼运输车和搅拌机清洗废水、运输车辆清洗废水及生活污水。车辆冲洗废水经沉淀池沉淀回用于车辆冲洗；搅拌机和砼运输车清洗废水经沉淀池沉淀后回用于清洗搅拌机；厂区设置防渗旱厕，粪污定期清掏作为有机肥用于附近农田</w:t>
            </w:r>
            <w:r>
              <w:rPr>
                <w:rFonts w:hint="eastAsia" w:ascii="仿宋_GB2312" w:hAnsi="仿宋_GB2312" w:eastAsia="仿宋_GB2312" w:cs="仿宋_GB2312"/>
                <w:color w:val="auto"/>
                <w:kern w:val="2"/>
                <w:sz w:val="21"/>
                <w:szCs w:val="21"/>
                <w:lang w:val="en-US" w:eastAsia="zh-CN" w:bidi="ar-SA"/>
              </w:rPr>
              <w:t>，项目运营期间生产及生活废水不外排。</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4、项目运营期间沉淀池沉渣回收后回用于水泥稳定土拌合站；筒仓粉尘灰通过反吹回落至筒仓内回用；沥青拌合站筛分、烘干等工序产生的粉尘灰收集后回用于沥青拌合站生产线；矿石筛分产生的不合格骨料收集后交厂家破碎后综合利用；废导热油更换时交由厂家回收处置；设备检修维护产生的废润滑油为危险废物，检修时交由有资质单位现场收集并带出厂区处置，不在厂内暂存；项目服务期满后，场地拆除产生的建筑垃圾根据其性质可利用的回收利用，不可利用的运至政府指定填埋场处置。生活垃圾集中收集后交由环卫部门统一处理。</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5</w:t>
            </w:r>
            <w:r>
              <w:rPr>
                <w:rFonts w:hint="eastAsia" w:ascii="仿宋_GB2312" w:hAnsi="仿宋_GB2312" w:eastAsia="仿宋_GB2312" w:cs="仿宋_GB2312"/>
                <w:color w:val="auto"/>
                <w:kern w:val="2"/>
                <w:sz w:val="21"/>
                <w:szCs w:val="21"/>
                <w:lang w:val="en-US" w:eastAsia="zh-CN" w:bidi="ar-SA"/>
              </w:rPr>
              <w:t>、项目运营期需严格按照《报告表》要求落实噪声污染防治措施，确保运营期厂界噪声满足《工业企业厂界环境噪声排放标准》（GB12348-2008</w:t>
            </w:r>
            <w:r>
              <w:rPr>
                <w:rFonts w:hint="eastAsia" w:ascii="仿宋_GB2312" w:hAnsi="仿宋_GB2312" w:eastAsia="仿宋_GB2312" w:cs="仿宋_GB2312"/>
                <w:color w:val="auto"/>
                <w:kern w:val="2"/>
                <w:sz w:val="21"/>
                <w:szCs w:val="21"/>
                <w:lang w:val="en-US" w:eastAsia="zh-CN" w:bidi="ar-SA"/>
              </w:rPr>
              <w:t>）1类标准要求。</w:t>
            </w:r>
          </w:p>
          <w:p>
            <w:pPr>
              <w:jc w:val="left"/>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kern w:val="2"/>
                <w:sz w:val="21"/>
                <w:szCs w:val="21"/>
                <w:lang w:val="en-US" w:eastAsia="zh-CN" w:bidi="ar-SA"/>
              </w:rPr>
              <w:t>6、</w:t>
            </w:r>
            <w:r>
              <w:rPr>
                <w:rFonts w:hint="eastAsia" w:ascii="仿宋_GB2312" w:hAnsi="仿宋_GB2312" w:eastAsia="仿宋_GB2312" w:cs="仿宋_GB2312"/>
                <w:color w:val="auto"/>
                <w:kern w:val="2"/>
                <w:sz w:val="21"/>
                <w:szCs w:val="21"/>
                <w:lang w:val="en-US" w:eastAsia="zh-CN" w:bidi="ar-SA"/>
              </w:rPr>
              <w:t>项目结束后，严格按照《报告表》要求对项目占地进行复垦，恢复土地原有使用功能。</w:t>
            </w:r>
          </w:p>
        </w:tc>
      </w:tr>
    </w:tbl>
    <w:p>
      <w:pPr>
        <w:pStyle w:val="22"/>
        <w:ind w:firstLine="0" w:firstLineChars="0"/>
        <w:rPr>
          <w:rFonts w:hint="eastAsia" w:ascii="仿宋_GB2312" w:hAnsi="仿宋_GB2312" w:eastAsia="仿宋_GB2312" w:cs="仿宋_GB2312"/>
          <w:sz w:val="32"/>
          <w:szCs w:val="32"/>
        </w:rPr>
      </w:pPr>
    </w:p>
    <w:sectPr>
      <w:pgSz w:w="16838" w:h="11906" w:orient="landscape"/>
      <w:pgMar w:top="283" w:right="1157"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YTFiYTJlNGMxNTc4NDBiY2NhZDg0NzcwODc0YWUifQ=="/>
  </w:docVars>
  <w:rsids>
    <w:rsidRoot w:val="080E7B1F"/>
    <w:rsid w:val="002B2BE2"/>
    <w:rsid w:val="00407B3D"/>
    <w:rsid w:val="00506CDD"/>
    <w:rsid w:val="0210321C"/>
    <w:rsid w:val="025666DE"/>
    <w:rsid w:val="02EF1E8A"/>
    <w:rsid w:val="041A4B69"/>
    <w:rsid w:val="04CB4029"/>
    <w:rsid w:val="07B60F75"/>
    <w:rsid w:val="07BD7601"/>
    <w:rsid w:val="080E7B1F"/>
    <w:rsid w:val="08A76EF7"/>
    <w:rsid w:val="08B44B57"/>
    <w:rsid w:val="0A745713"/>
    <w:rsid w:val="0AB063A2"/>
    <w:rsid w:val="0ACB0F75"/>
    <w:rsid w:val="0B731EED"/>
    <w:rsid w:val="0D164F83"/>
    <w:rsid w:val="0E6226F7"/>
    <w:rsid w:val="0EB54ECC"/>
    <w:rsid w:val="0F872CE8"/>
    <w:rsid w:val="104D51D4"/>
    <w:rsid w:val="1059048B"/>
    <w:rsid w:val="11100073"/>
    <w:rsid w:val="1285750E"/>
    <w:rsid w:val="14A0682A"/>
    <w:rsid w:val="1564628A"/>
    <w:rsid w:val="15FA74E9"/>
    <w:rsid w:val="16804237"/>
    <w:rsid w:val="16FB0F92"/>
    <w:rsid w:val="1784188A"/>
    <w:rsid w:val="181E54C4"/>
    <w:rsid w:val="183C74C7"/>
    <w:rsid w:val="1B09140A"/>
    <w:rsid w:val="1B5843F4"/>
    <w:rsid w:val="1B972A0D"/>
    <w:rsid w:val="1BBE30B8"/>
    <w:rsid w:val="1FBD5958"/>
    <w:rsid w:val="1FD255CD"/>
    <w:rsid w:val="210C5746"/>
    <w:rsid w:val="26964247"/>
    <w:rsid w:val="274026F8"/>
    <w:rsid w:val="27A96F47"/>
    <w:rsid w:val="2AE84B5C"/>
    <w:rsid w:val="2B054E4E"/>
    <w:rsid w:val="2C7D0568"/>
    <w:rsid w:val="2E7203C8"/>
    <w:rsid w:val="2FAA64AB"/>
    <w:rsid w:val="311779D7"/>
    <w:rsid w:val="32992A21"/>
    <w:rsid w:val="32DE2F9B"/>
    <w:rsid w:val="331B2029"/>
    <w:rsid w:val="33A40956"/>
    <w:rsid w:val="346E6803"/>
    <w:rsid w:val="348A6935"/>
    <w:rsid w:val="35A149B6"/>
    <w:rsid w:val="366F7121"/>
    <w:rsid w:val="375564CF"/>
    <w:rsid w:val="37F92B6D"/>
    <w:rsid w:val="3A8A0CF6"/>
    <w:rsid w:val="3B9A4CFB"/>
    <w:rsid w:val="3D5B56FC"/>
    <w:rsid w:val="3E6071EC"/>
    <w:rsid w:val="3F7A7718"/>
    <w:rsid w:val="3FEE324A"/>
    <w:rsid w:val="40283D99"/>
    <w:rsid w:val="4157311A"/>
    <w:rsid w:val="418D716C"/>
    <w:rsid w:val="41D3159C"/>
    <w:rsid w:val="422505D8"/>
    <w:rsid w:val="424A46F9"/>
    <w:rsid w:val="424E44C8"/>
    <w:rsid w:val="45552E54"/>
    <w:rsid w:val="456510DB"/>
    <w:rsid w:val="45CD2A1A"/>
    <w:rsid w:val="46433569"/>
    <w:rsid w:val="47163DD9"/>
    <w:rsid w:val="480B3280"/>
    <w:rsid w:val="48EB6321"/>
    <w:rsid w:val="490F2691"/>
    <w:rsid w:val="49721BE6"/>
    <w:rsid w:val="4E065115"/>
    <w:rsid w:val="4E146C4B"/>
    <w:rsid w:val="4EB242E9"/>
    <w:rsid w:val="4F7A7C5B"/>
    <w:rsid w:val="51A807E4"/>
    <w:rsid w:val="53CA2DA6"/>
    <w:rsid w:val="541C0D00"/>
    <w:rsid w:val="54343EB6"/>
    <w:rsid w:val="55C5563B"/>
    <w:rsid w:val="55CA5EB7"/>
    <w:rsid w:val="5614122C"/>
    <w:rsid w:val="568A3BF9"/>
    <w:rsid w:val="56B75990"/>
    <w:rsid w:val="59314455"/>
    <w:rsid w:val="5BF70B72"/>
    <w:rsid w:val="5CA139A4"/>
    <w:rsid w:val="5E177132"/>
    <w:rsid w:val="60E05C0B"/>
    <w:rsid w:val="61512E34"/>
    <w:rsid w:val="631445C1"/>
    <w:rsid w:val="639B42E9"/>
    <w:rsid w:val="63B757A8"/>
    <w:rsid w:val="6584425F"/>
    <w:rsid w:val="679E78B0"/>
    <w:rsid w:val="67B72A24"/>
    <w:rsid w:val="67D521D9"/>
    <w:rsid w:val="6831170C"/>
    <w:rsid w:val="686D054C"/>
    <w:rsid w:val="691A59EE"/>
    <w:rsid w:val="6A5817BE"/>
    <w:rsid w:val="6A864AC1"/>
    <w:rsid w:val="6AD02EDB"/>
    <w:rsid w:val="6E7853B1"/>
    <w:rsid w:val="6F5E29F5"/>
    <w:rsid w:val="6FD8457F"/>
    <w:rsid w:val="7069615F"/>
    <w:rsid w:val="70A90B19"/>
    <w:rsid w:val="70AF0C51"/>
    <w:rsid w:val="73377338"/>
    <w:rsid w:val="74360436"/>
    <w:rsid w:val="74664BAC"/>
    <w:rsid w:val="756B742A"/>
    <w:rsid w:val="75B33643"/>
    <w:rsid w:val="764B09F2"/>
    <w:rsid w:val="77C25799"/>
    <w:rsid w:val="780B6871"/>
    <w:rsid w:val="78C755C4"/>
    <w:rsid w:val="79327493"/>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keepNext/>
      <w:keepLines/>
      <w:spacing w:before="260" w:after="260" w:line="416" w:lineRule="atLeast"/>
      <w:outlineLvl w:val="2"/>
    </w:pPr>
    <w:rPr>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4">
    <w:name w:val="Normal Indent"/>
    <w:basedOn w:val="1"/>
    <w:next w:val="5"/>
    <w:unhideWhenUsed/>
    <w:qFormat/>
    <w:uiPriority w:val="0"/>
    <w:pPr>
      <w:ind w:firstLine="420" w:firstLineChars="200"/>
    </w:pPr>
  </w:style>
  <w:style w:type="paragraph" w:customStyle="1" w:styleId="5">
    <w:name w:val="表头"/>
    <w:basedOn w:val="6"/>
    <w:next w:val="1"/>
    <w:qFormat/>
    <w:uiPriority w:val="0"/>
    <w:pPr>
      <w:adjustRightInd w:val="0"/>
      <w:snapToGrid w:val="0"/>
      <w:ind w:left="0" w:firstLine="0" w:firstLineChars="0"/>
    </w:pPr>
    <w:rPr>
      <w:rFonts w:ascii="Times New Roman" w:hAnsi="Times New Roman" w:eastAsia="黑体"/>
      <w:sz w:val="24"/>
      <w:szCs w:val="28"/>
    </w:rPr>
  </w:style>
  <w:style w:type="paragraph" w:styleId="6">
    <w:name w:val="List"/>
    <w:basedOn w:val="1"/>
    <w:qFormat/>
    <w:uiPriority w:val="0"/>
    <w:pPr>
      <w:ind w:left="200" w:hanging="200" w:hangingChars="200"/>
    </w:pPr>
  </w:style>
  <w:style w:type="paragraph" w:styleId="7">
    <w:name w:val="Body Text"/>
    <w:basedOn w:val="1"/>
    <w:next w:val="8"/>
    <w:qFormat/>
    <w:uiPriority w:val="0"/>
    <w:pPr>
      <w:spacing w:line="520" w:lineRule="exact"/>
      <w:ind w:firstLine="200" w:firstLineChars="200"/>
    </w:pPr>
    <w:rPr>
      <w:sz w:val="28"/>
    </w:rPr>
  </w:style>
  <w:style w:type="paragraph" w:customStyle="1" w:styleId="8">
    <w:name w:val="Date1"/>
    <w:basedOn w:val="1"/>
    <w:next w:val="1"/>
    <w:qFormat/>
    <w:uiPriority w:val="0"/>
    <w:pPr>
      <w:adjustRightInd w:val="0"/>
      <w:jc w:val="left"/>
      <w:textAlignment w:val="baseline"/>
    </w:pPr>
    <w:rPr>
      <w:rFonts w:ascii="宋体" w:hAnsi="宋体"/>
      <w:sz w:val="28"/>
      <w:szCs w:val="20"/>
    </w:rPr>
  </w:style>
  <w:style w:type="paragraph" w:styleId="9">
    <w:name w:val="Body Text Indent"/>
    <w:basedOn w:val="1"/>
    <w:next w:val="1"/>
    <w:uiPriority w:val="0"/>
    <w:pPr>
      <w:spacing w:after="120"/>
      <w:ind w:left="420" w:leftChars="200"/>
    </w:pPr>
    <w:rPr>
      <w:kern w:val="0"/>
      <w:sz w:val="24"/>
      <w:szCs w:val="20"/>
    </w:rPr>
  </w:style>
  <w:style w:type="paragraph" w:styleId="10">
    <w:name w:val="Plain Text"/>
    <w:basedOn w:val="1"/>
    <w:next w:val="11"/>
    <w:uiPriority w:val="0"/>
    <w:rPr>
      <w:rFonts w:ascii="宋体" w:hAnsi="Courier New" w:cs="Courier New"/>
      <w:szCs w:val="21"/>
    </w:rPr>
  </w:style>
  <w:style w:type="paragraph" w:styleId="11">
    <w:name w:val="toc 1"/>
    <w:basedOn w:val="1"/>
    <w:next w:val="1"/>
    <w:qFormat/>
    <w:uiPriority w:val="0"/>
  </w:style>
  <w:style w:type="paragraph" w:styleId="12">
    <w:name w:val="index heading"/>
    <w:basedOn w:val="1"/>
    <w:next w:val="13"/>
    <w:qFormat/>
    <w:uiPriority w:val="0"/>
    <w:rPr>
      <w:rFonts w:ascii="Arial" w:hAnsi="Arial"/>
      <w:b/>
    </w:rPr>
  </w:style>
  <w:style w:type="paragraph" w:styleId="13">
    <w:name w:val="index 1"/>
    <w:basedOn w:val="1"/>
    <w:next w:val="1"/>
    <w:qFormat/>
    <w:uiPriority w:val="0"/>
    <w:pPr>
      <w:adjustRightInd w:val="0"/>
      <w:spacing w:line="240" w:lineRule="atLeast"/>
      <w:jc w:val="center"/>
      <w:textAlignment w:val="baseline"/>
    </w:pPr>
    <w:rPr>
      <w:rFonts w:ascii="宋体" w:hAnsi="宋体"/>
      <w:kern w:val="0"/>
    </w:rPr>
  </w:style>
  <w:style w:type="paragraph" w:styleId="14">
    <w:name w:val="Body Text 2"/>
    <w:basedOn w:val="1"/>
    <w:qFormat/>
    <w:uiPriority w:val="0"/>
    <w:pPr>
      <w:snapToGrid w:val="0"/>
      <w:jc w:val="center"/>
    </w:pPr>
    <w:rPr>
      <w:sz w:val="28"/>
      <w:szCs w:val="20"/>
    </w:rPr>
  </w:style>
  <w:style w:type="paragraph" w:styleId="15">
    <w:name w:val="Normal (Web)"/>
    <w:basedOn w:val="1"/>
    <w:qFormat/>
    <w:uiPriority w:val="0"/>
    <w:rPr>
      <w:sz w:val="24"/>
    </w:rPr>
  </w:style>
  <w:style w:type="paragraph" w:styleId="16">
    <w:name w:val="Body Text First Indent 2"/>
    <w:basedOn w:val="9"/>
    <w:next w:val="1"/>
    <w:unhideWhenUsed/>
    <w:qFormat/>
    <w:uiPriority w:val="99"/>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正文1"/>
    <w:basedOn w:val="1"/>
    <w:next w:val="1"/>
    <w:qFormat/>
    <w:uiPriority w:val="0"/>
    <w:pPr>
      <w:spacing w:line="360" w:lineRule="auto"/>
      <w:ind w:firstLine="480" w:firstLineChars="200"/>
    </w:pPr>
    <w:rPr>
      <w:kern w:val="0"/>
      <w:sz w:val="20"/>
      <w:szCs w:val="20"/>
    </w:rPr>
  </w:style>
  <w:style w:type="paragraph" w:customStyle="1" w:styleId="21">
    <w:name w:val="章标题"/>
    <w:next w:val="22"/>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22">
    <w:name w:val="段"/>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23">
    <w:name w:val="Default"/>
    <w:basedOn w:val="1"/>
    <w:next w:val="12"/>
    <w:qFormat/>
    <w:uiPriority w:val="0"/>
    <w:pPr>
      <w:autoSpaceDE w:val="0"/>
      <w:autoSpaceDN w:val="0"/>
      <w:adjustRightInd w:val="0"/>
      <w:jc w:val="left"/>
    </w:pPr>
    <w:rPr>
      <w:rFonts w:hint="eastAsia" w:ascii="宋体"/>
      <w:color w:val="000000"/>
      <w:kern w:val="0"/>
      <w:sz w:val="24"/>
    </w:rPr>
  </w:style>
  <w:style w:type="paragraph" w:customStyle="1" w:styleId="24">
    <w:name w:val="正文（缩进）"/>
    <w:basedOn w:val="25"/>
    <w:next w:val="1"/>
    <w:qFormat/>
    <w:uiPriority w:val="99"/>
    <w:pPr>
      <w:tabs>
        <w:tab w:val="left" w:pos="4584"/>
      </w:tabs>
      <w:spacing w:line="360" w:lineRule="auto"/>
      <w:ind w:firstLine="480" w:firstLineChars="200"/>
    </w:pPr>
    <w:rPr>
      <w:sz w:val="24"/>
    </w:rPr>
  </w:style>
  <w:style w:type="paragraph" w:customStyle="1" w:styleId="25">
    <w:name w:val="正文(首行缩进)"/>
    <w:basedOn w:val="1"/>
    <w:qFormat/>
    <w:uiPriority w:val="0"/>
    <w:pPr>
      <w:tabs>
        <w:tab w:val="left" w:pos="4584"/>
      </w:tabs>
      <w:adjustRightInd w:val="0"/>
      <w:snapToGrid w:val="0"/>
      <w:jc w:val="center"/>
    </w:pPr>
    <w:rPr>
      <w:rFonts w:ascii="宋体" w:hAnsi="宋体"/>
      <w:snapToGrid w:val="0"/>
      <w:kern w:val="0"/>
      <w:sz w:val="20"/>
      <w:szCs w:val="21"/>
    </w:rPr>
  </w:style>
  <w:style w:type="paragraph" w:customStyle="1" w:styleId="26">
    <w:name w:val="表格"/>
    <w:basedOn w:val="4"/>
    <w:next w:val="1"/>
    <w:uiPriority w:val="0"/>
    <w:pPr>
      <w:adjustRightInd w:val="0"/>
      <w:snapToGrid w:val="0"/>
      <w:spacing w:beforeLines="10" w:afterLines="10" w:line="259" w:lineRule="auto"/>
      <w:jc w:val="center"/>
    </w:pPr>
    <w:rPr>
      <w:rFonts w:ascii="宋体"/>
      <w:kern w:val="0"/>
      <w:szCs w:val="20"/>
    </w:rPr>
  </w:style>
  <w:style w:type="paragraph" w:customStyle="1" w:styleId="27">
    <w:name w:val="图表标题"/>
    <w:next w:val="1"/>
    <w:qFormat/>
    <w:uiPriority w:val="0"/>
    <w:pPr>
      <w:spacing w:line="360" w:lineRule="auto"/>
      <w:jc w:val="center"/>
    </w:pPr>
    <w:rPr>
      <w:rFonts w:ascii="Times New Roman" w:hAnsi="Times New Roman" w:eastAsia="黑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3466</Words>
  <Characters>3674</Characters>
  <Lines>6</Lines>
  <Paragraphs>1</Paragraphs>
  <TotalTime>4</TotalTime>
  <ScaleCrop>false</ScaleCrop>
  <LinksUpToDate>false</LinksUpToDate>
  <CharactersWithSpaces>3680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I❥•  FeLo</cp:lastModifiedBy>
  <dcterms:modified xsi:type="dcterms:W3CDTF">2023-02-10T09:56:04Z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1CE23438D83D4CCCAA26BB4F774DD608</vt:lpwstr>
  </property>
</Properties>
</file>