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_GBK" w:hAnsi="方正小标宋_GBK" w:eastAsia="方正小标宋_GBK" w:cs="方正小标宋_GBK"/>
          <w:color w:val="292929"/>
          <w:kern w:val="0"/>
          <w:sz w:val="36"/>
          <w:szCs w:val="36"/>
        </w:rPr>
      </w:pPr>
      <w:r>
        <w:rPr>
          <w:rFonts w:hint="eastAsia" w:ascii="方正小标宋_GBK" w:hAnsi="方正小标宋_GBK" w:eastAsia="方正小标宋_GBK" w:cs="方正小标宋_GBK"/>
          <w:color w:val="292929"/>
          <w:kern w:val="0"/>
          <w:sz w:val="36"/>
          <w:szCs w:val="36"/>
        </w:rPr>
        <w:t>建设项目环境影响评价文件拟进行审查审批的公示</w:t>
      </w:r>
    </w:p>
    <w:tbl>
      <w:tblPr>
        <w:tblStyle w:val="18"/>
        <w:tblpPr w:leftFromText="180" w:rightFromText="180" w:vertAnchor="text" w:horzAnchor="page" w:tblpX="981" w:tblpY="590"/>
        <w:tblOverlap w:val="never"/>
        <w:tblW w:w="14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728"/>
        <w:gridCol w:w="713"/>
        <w:gridCol w:w="725"/>
        <w:gridCol w:w="1250"/>
        <w:gridCol w:w="1662"/>
        <w:gridCol w:w="9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37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728"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项目名称</w:t>
            </w:r>
          </w:p>
        </w:tc>
        <w:tc>
          <w:tcPr>
            <w:tcW w:w="713"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建设地点</w:t>
            </w:r>
          </w:p>
        </w:tc>
        <w:tc>
          <w:tcPr>
            <w:tcW w:w="72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建设单位</w:t>
            </w:r>
          </w:p>
        </w:tc>
        <w:tc>
          <w:tcPr>
            <w:tcW w:w="1250"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环境影响评价机构</w:t>
            </w:r>
          </w:p>
        </w:tc>
        <w:tc>
          <w:tcPr>
            <w:tcW w:w="1662"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建设项目概况</w:t>
            </w:r>
          </w:p>
        </w:tc>
        <w:tc>
          <w:tcPr>
            <w:tcW w:w="9302"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主要环境影响及预防或者减轻不良环境影响的对策和措施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trPr>
        <w:tc>
          <w:tcPr>
            <w:tcW w:w="375" w:type="dxa"/>
            <w:vAlign w:val="center"/>
          </w:tcPr>
          <w:p>
            <w:pPr>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8"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S50海原至平川（宁甘界）公路二标段项目2#站（水稳拌合站、混凝土拌合站）-海原县西安镇鸡窝山村项目</w:t>
            </w:r>
          </w:p>
        </w:tc>
        <w:tc>
          <w:tcPr>
            <w:tcW w:w="713"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海原县西安镇鸡窝山村</w:t>
            </w:r>
          </w:p>
        </w:tc>
        <w:tc>
          <w:tcPr>
            <w:tcW w:w="725"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宁夏交通建设股份有限公司S50海原至平川（宁甘界）公路二标段项目部</w:t>
            </w:r>
          </w:p>
        </w:tc>
        <w:tc>
          <w:tcPr>
            <w:tcW w:w="1250" w:type="dxa"/>
            <w:vAlign w:val="center"/>
          </w:tcPr>
          <w:p>
            <w:pPr>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驰久（宁夏）环保科技有限公司</w:t>
            </w:r>
          </w:p>
        </w:tc>
        <w:tc>
          <w:tcPr>
            <w:tcW w:w="1662"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项目建设规模为年生产水泥混凝土4.48m</w:t>
            </w:r>
            <w:r>
              <w:rPr>
                <w:rFonts w:hint="eastAsia" w:ascii="仿宋_GB2312" w:hAnsi="仿宋_GB2312" w:eastAsia="仿宋_GB2312" w:cs="仿宋_GB2312"/>
                <w:color w:val="auto"/>
                <w:kern w:val="2"/>
                <w:sz w:val="24"/>
                <w:szCs w:val="24"/>
                <w:vertAlign w:val="superscript"/>
                <w:lang w:val="en-US" w:eastAsia="zh-CN" w:bidi="ar-SA"/>
              </w:rPr>
              <w:t>3</w:t>
            </w:r>
            <w:r>
              <w:rPr>
                <w:rFonts w:hint="eastAsia" w:ascii="仿宋_GB2312" w:hAnsi="仿宋_GB2312" w:eastAsia="仿宋_GB2312" w:cs="仿宋_GB2312"/>
                <w:color w:val="auto"/>
                <w:kern w:val="2"/>
                <w:sz w:val="24"/>
                <w:szCs w:val="24"/>
                <w:lang w:val="en-US" w:eastAsia="zh-CN" w:bidi="ar-SA"/>
              </w:rPr>
              <w:t>/a，水泥稳定土11.02m</w:t>
            </w:r>
            <w:r>
              <w:rPr>
                <w:rFonts w:hint="eastAsia" w:ascii="仿宋_GB2312" w:hAnsi="仿宋_GB2312" w:eastAsia="仿宋_GB2312" w:cs="仿宋_GB2312"/>
                <w:color w:val="auto"/>
                <w:kern w:val="2"/>
                <w:sz w:val="24"/>
                <w:szCs w:val="24"/>
                <w:vertAlign w:val="superscript"/>
                <w:lang w:val="en-US" w:eastAsia="zh-CN" w:bidi="ar-SA"/>
              </w:rPr>
              <w:t>3</w:t>
            </w:r>
            <w:r>
              <w:rPr>
                <w:rFonts w:hint="eastAsia" w:ascii="仿宋_GB2312" w:hAnsi="仿宋_GB2312" w:eastAsia="仿宋_GB2312" w:cs="仿宋_GB2312"/>
                <w:color w:val="auto"/>
                <w:kern w:val="2"/>
                <w:sz w:val="24"/>
                <w:szCs w:val="24"/>
                <w:lang w:val="en-US" w:eastAsia="zh-CN" w:bidi="ar-SA"/>
              </w:rPr>
              <w:t>/a，预制梁板238片/a；主要建设内容包括：水泥混凝土拌合站、水泥稳定土拌合站、预制梁板生产线。项目总投资260万元，其中环保投资47万元，环保投资占比18.1%。</w:t>
            </w:r>
          </w:p>
        </w:tc>
        <w:tc>
          <w:tcPr>
            <w:tcW w:w="9302" w:type="dxa"/>
            <w:vAlign w:val="center"/>
          </w:tcPr>
          <w:p>
            <w:pPr>
              <w:jc w:val="left"/>
              <w:rPr>
                <w:rFonts w:hint="default" w:ascii="仿宋_GB2312" w:hAnsi="仿宋_GB2312" w:eastAsia="仿宋_GB2312" w:cs="仿宋_GB2312"/>
                <w:color w:val="auto"/>
                <w:kern w:val="2"/>
                <w:sz w:val="24"/>
                <w:szCs w:val="24"/>
                <w:lang w:val="en-US" w:eastAsia="zh-CN" w:bidi="ar-SA"/>
              </w:rPr>
            </w:pPr>
            <w:r>
              <w:rPr>
                <w:rFonts w:hint="default"/>
                <w:lang w:val="en-US" w:eastAsia="zh-CN"/>
              </w:rPr>
              <w:t>1</w:t>
            </w:r>
            <w:r>
              <w:rPr>
                <w:rFonts w:hint="default" w:ascii="仿宋_GB2312" w:hAnsi="仿宋_GB2312" w:eastAsia="仿宋_GB2312" w:cs="仿宋_GB2312"/>
                <w:color w:val="auto"/>
                <w:kern w:val="2"/>
                <w:sz w:val="24"/>
                <w:szCs w:val="24"/>
                <w:lang w:val="en-US" w:eastAsia="zh-CN" w:bidi="ar-SA"/>
              </w:rPr>
              <w:t>、项目施工期严格按照《报告表》要求落实噪声、粉尘、固体废物等各项污染物防治及生态保护措施，加强施工期环境管理，合理安排施工时间，减少施工期粉尘、噪声污染，降低生态环境影响。</w:t>
            </w:r>
          </w:p>
          <w:p>
            <w:pPr>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w:t>
            </w:r>
            <w:r>
              <w:rPr>
                <w:rFonts w:hint="default" w:ascii="仿宋_GB2312" w:hAnsi="仿宋_GB2312" w:eastAsia="仿宋_GB2312" w:cs="仿宋_GB2312"/>
                <w:color w:val="auto"/>
                <w:kern w:val="2"/>
                <w:sz w:val="24"/>
                <w:szCs w:val="24"/>
                <w:lang w:val="en-US" w:eastAsia="zh-CN" w:bidi="ar-SA"/>
              </w:rPr>
              <w:t>项目运营期废气包括粉煤灰筒仓、水泥筒仓装卸料产生的粉尘；储料仓库内原料装卸产生的粉尘；原料投料产生的粉尘；混凝土搅拌、水泥稳定土搅拌产生的粉尘；运输车辆产生的少量扬尘。搅拌工序采用全密闭搅拌机；原料均在密闭的储料仓库内装卸，且在储料仓库定期洒水降尘；料仓上方安装喷淋装置，有效减少投料粉尘；运输车辆全密闭</w:t>
            </w:r>
            <w:r>
              <w:rPr>
                <w:rFonts w:hint="eastAsia" w:ascii="仿宋_GB2312" w:hAnsi="仿宋_GB2312" w:eastAsia="仿宋_GB2312" w:cs="仿宋_GB2312"/>
                <w:color w:val="auto"/>
                <w:kern w:val="2"/>
                <w:sz w:val="24"/>
                <w:szCs w:val="24"/>
                <w:lang w:val="en-US" w:eastAsia="zh-CN" w:bidi="ar-SA"/>
              </w:rPr>
              <w:t>，</w:t>
            </w:r>
            <w:r>
              <w:rPr>
                <w:rFonts w:hint="default" w:ascii="仿宋_GB2312" w:hAnsi="仿宋_GB2312" w:eastAsia="仿宋_GB2312" w:cs="仿宋_GB2312"/>
                <w:color w:val="auto"/>
                <w:kern w:val="2"/>
                <w:sz w:val="24"/>
                <w:szCs w:val="24"/>
                <w:lang w:val="en-US" w:eastAsia="zh-CN" w:bidi="ar-SA"/>
              </w:rPr>
              <w:t>厂区出口设置洗车平台；厂区地面均采取硬化处理</w:t>
            </w:r>
            <w:r>
              <w:rPr>
                <w:rFonts w:hint="eastAsia" w:ascii="仿宋_GB2312" w:hAnsi="仿宋_GB2312" w:eastAsia="仿宋_GB2312" w:cs="仿宋_GB2312"/>
                <w:color w:val="auto"/>
                <w:kern w:val="2"/>
                <w:sz w:val="24"/>
                <w:szCs w:val="24"/>
                <w:lang w:val="en-US" w:eastAsia="zh-CN" w:bidi="ar-SA"/>
              </w:rPr>
              <w:t>，</w:t>
            </w:r>
            <w:r>
              <w:rPr>
                <w:rFonts w:hint="default" w:ascii="仿宋_GB2312" w:hAnsi="仿宋_GB2312" w:eastAsia="仿宋_GB2312" w:cs="仿宋_GB2312"/>
                <w:color w:val="auto"/>
                <w:kern w:val="2"/>
                <w:sz w:val="24"/>
                <w:szCs w:val="24"/>
                <w:lang w:val="en-US" w:eastAsia="zh-CN" w:bidi="ar-SA"/>
              </w:rPr>
              <w:t>定期洒水降尘；拌合站全密闭；项目有组织颗粒物执行《水泥工业大气污染物排放标准》（GB4915-2013）表1中的排放标准</w:t>
            </w:r>
            <w:r>
              <w:rPr>
                <w:rFonts w:hint="eastAsia" w:ascii="仿宋_GB2312" w:hAnsi="仿宋_GB2312" w:eastAsia="仿宋_GB2312" w:cs="仿宋_GB2312"/>
                <w:color w:val="auto"/>
                <w:kern w:val="2"/>
                <w:sz w:val="24"/>
                <w:szCs w:val="24"/>
                <w:lang w:val="en-US" w:eastAsia="zh-CN" w:bidi="ar-SA"/>
              </w:rPr>
              <w:t>。</w:t>
            </w:r>
          </w:p>
          <w:p>
            <w:pPr>
              <w:ind w:firstLine="48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3、本项目排水主要为生活污水，厂内设置旱厕，定期清掏作为有机肥用于附近农田；员工洗漱废水用于厂内泼洒抑尘。生产废水主要为：搅拌机清洗废水和洗车废水。拌合站内建设一座37.5m3的三级沉淀池，搅拌机和罐车清洗废水经沉淀池沉淀后回用于清洗搅拌机和罐车，废水不外排。</w:t>
            </w:r>
          </w:p>
          <w:p>
            <w:pPr>
              <w:ind w:firstLine="480"/>
              <w:jc w:val="left"/>
              <w:rPr>
                <w:rFonts w:hint="eastAsia" w:ascii="仿宋_GB2312" w:hAnsi="仿宋_GB2312" w:eastAsia="仿宋_GB2312" w:cs="仿宋_GB2312"/>
                <w:color w:val="auto"/>
                <w:kern w:val="2"/>
                <w:sz w:val="24"/>
                <w:szCs w:val="24"/>
                <w:lang w:val="en-US" w:eastAsia="zh-CN" w:bidi="ar-SA"/>
              </w:rPr>
            </w:pPr>
            <w:r>
              <w:rPr>
                <w:rFonts w:hint="eastAsia"/>
                <w:lang w:val="en-US" w:eastAsia="zh-CN"/>
              </w:rPr>
              <w:t>4、</w:t>
            </w:r>
            <w:r>
              <w:rPr>
                <w:rFonts w:hint="eastAsia" w:ascii="仿宋_GB2312" w:hAnsi="仿宋_GB2312" w:eastAsia="仿宋_GB2312" w:cs="仿宋_GB2312"/>
                <w:color w:val="auto"/>
                <w:kern w:val="2"/>
                <w:sz w:val="24"/>
                <w:szCs w:val="24"/>
                <w:lang w:val="en-US" w:eastAsia="zh-CN" w:bidi="ar-SA"/>
              </w:rPr>
              <w:t>项目除尘器回收尘收集后回用于生产；沉淀池沉渣集中收集后清运至中卫市指定的建筑垃圾场；服务期满后拆除的建筑物集中收集后清运至中卫市指定的建筑垃圾场；设备检修维护产生的废润滑油为危险废物，检修时交有资质单位现场收集并带出厂区处置，不在厂内暂存；项目服务期满后拆除生产、生活设施，项目服务期满后，场地拆除产生的建筑垃圾根据其性质可利用的回收利用，不可利用的运至政府指定填埋场处置；生活垃圾集中收集后交由环卫部门统一处理。</w:t>
            </w:r>
          </w:p>
          <w:p>
            <w:pPr>
              <w:jc w:val="left"/>
              <w:rPr>
                <w:rFonts w:hint="eastAsia" w:ascii="仿宋_GB2312" w:hAnsi="仿宋_GB2312" w:eastAsia="仿宋_GB2312" w:cs="仿宋_GB2312"/>
                <w:color w:val="auto"/>
                <w:kern w:val="2"/>
                <w:sz w:val="24"/>
                <w:szCs w:val="24"/>
                <w:lang w:val="en-US" w:eastAsia="zh-CN" w:bidi="ar-SA"/>
              </w:rPr>
            </w:pPr>
            <w:r>
              <w:rPr>
                <w:rFonts w:hint="eastAsia"/>
                <w:lang w:val="en-US" w:eastAsia="zh-CN"/>
              </w:rPr>
              <w:t>5、</w:t>
            </w:r>
            <w:r>
              <w:rPr>
                <w:rFonts w:hint="default" w:ascii="仿宋_GB2312" w:hAnsi="仿宋_GB2312" w:eastAsia="仿宋_GB2312" w:cs="仿宋_GB2312"/>
                <w:color w:val="auto"/>
                <w:kern w:val="2"/>
                <w:sz w:val="24"/>
                <w:szCs w:val="24"/>
                <w:lang w:val="en-US" w:eastAsia="zh-CN" w:bidi="ar-SA"/>
              </w:rPr>
              <w:t>5</w:t>
            </w:r>
            <w:r>
              <w:rPr>
                <w:rFonts w:hint="eastAsia" w:ascii="仿宋_GB2312" w:hAnsi="仿宋_GB2312" w:eastAsia="仿宋_GB2312" w:cs="仿宋_GB2312"/>
                <w:color w:val="auto"/>
                <w:kern w:val="2"/>
                <w:sz w:val="24"/>
                <w:szCs w:val="24"/>
                <w:lang w:val="en-US" w:eastAsia="zh-CN" w:bidi="ar-SA"/>
              </w:rPr>
              <w:t>、项目运营期需严格按照《报告表》要求落实噪声污染防治措施，确保运营期厂界噪声满足《工业企业厂界环境噪声排放标准》（</w:t>
            </w:r>
            <w:r>
              <w:rPr>
                <w:rFonts w:hint="default" w:ascii="仿宋_GB2312" w:hAnsi="仿宋_GB2312" w:eastAsia="仿宋_GB2312" w:cs="仿宋_GB2312"/>
                <w:color w:val="auto"/>
                <w:kern w:val="2"/>
                <w:sz w:val="24"/>
                <w:szCs w:val="24"/>
                <w:lang w:val="en-US" w:eastAsia="zh-CN" w:bidi="ar-SA"/>
              </w:rPr>
              <w:t>GB12348-2008</w:t>
            </w:r>
            <w:r>
              <w:rPr>
                <w:rFonts w:hint="eastAsia" w:ascii="仿宋_GB2312" w:hAnsi="仿宋_GB2312" w:eastAsia="仿宋_GB2312" w:cs="仿宋_GB2312"/>
                <w:color w:val="auto"/>
                <w:kern w:val="2"/>
                <w:sz w:val="24"/>
                <w:szCs w:val="24"/>
                <w:lang w:val="en-US" w:eastAsia="zh-CN" w:bidi="ar-SA"/>
              </w:rPr>
              <w:t>）1类标准要求。</w:t>
            </w:r>
          </w:p>
          <w:p>
            <w:pPr>
              <w:jc w:val="left"/>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kern w:val="2"/>
                <w:sz w:val="24"/>
                <w:szCs w:val="24"/>
                <w:lang w:val="en-US" w:eastAsia="zh-CN" w:bidi="ar-SA"/>
              </w:rPr>
              <w:t>6、</w:t>
            </w:r>
            <w:r>
              <w:rPr>
                <w:rFonts w:hint="eastAsia" w:ascii="仿宋_GB2312" w:hAnsi="仿宋_GB2312" w:eastAsia="仿宋_GB2312" w:cs="仿宋_GB2312"/>
                <w:color w:val="auto"/>
                <w:kern w:val="2"/>
                <w:sz w:val="24"/>
                <w:szCs w:val="24"/>
                <w:lang w:val="en-US" w:eastAsia="zh-CN" w:bidi="ar-SA"/>
              </w:rPr>
              <w:t>项目结束后，严格按照《报告表》要求对项目占地进行复垦，恢复土地原有使用功能。</w:t>
            </w:r>
          </w:p>
          <w:p>
            <w:pPr>
              <w:jc w:val="left"/>
              <w:rPr>
                <w:rFonts w:hint="default"/>
                <w:lang w:val="en-US" w:eastAsia="zh-CN"/>
              </w:rPr>
            </w:pPr>
            <w:r>
              <w:rPr>
                <w:rFonts w:hint="default" w:ascii="仿宋_GB2312" w:hAnsi="仿宋_GB2312" w:eastAsia="仿宋_GB2312" w:cs="仿宋_GB2312"/>
                <w:color w:val="auto"/>
                <w:kern w:val="2"/>
                <w:sz w:val="24"/>
                <w:szCs w:val="24"/>
                <w:lang w:val="en-US" w:eastAsia="zh-CN" w:bidi="ar-SA"/>
              </w:rPr>
              <w:t>7</w:t>
            </w:r>
            <w:r>
              <w:rPr>
                <w:rFonts w:hint="eastAsia" w:ascii="仿宋_GB2312" w:hAnsi="仿宋_GB2312" w:eastAsia="仿宋_GB2312" w:cs="仿宋_GB2312"/>
                <w:color w:val="auto"/>
                <w:kern w:val="2"/>
                <w:sz w:val="24"/>
                <w:szCs w:val="24"/>
                <w:lang w:val="en-US" w:eastAsia="zh-CN" w:bidi="ar-SA"/>
              </w:rPr>
              <w:t>、按照《报告表》要求做好其他环境管理工作。</w:t>
            </w:r>
            <w:bookmarkStart w:id="0" w:name="_GoBack"/>
            <w:bookmarkEnd w:id="0"/>
          </w:p>
          <w:p>
            <w:pPr>
              <w:jc w:val="both"/>
              <w:rPr>
                <w:rFonts w:hint="default" w:ascii="仿宋_GB2312" w:hAnsi="仿宋_GB2312" w:eastAsia="仿宋_GB2312" w:cs="仿宋_GB2312"/>
                <w:color w:val="auto"/>
                <w:kern w:val="2"/>
                <w:sz w:val="24"/>
                <w:szCs w:val="24"/>
                <w:lang w:val="en-US" w:eastAsia="zh-CN" w:bidi="ar-SA"/>
              </w:rPr>
            </w:pPr>
          </w:p>
        </w:tc>
      </w:tr>
    </w:tbl>
    <w:p>
      <w:pPr>
        <w:pStyle w:val="22"/>
        <w:ind w:firstLine="0" w:firstLineChars="0"/>
        <w:rPr>
          <w:rFonts w:hint="eastAsia" w:ascii="仿宋_GB2312" w:hAnsi="仿宋_GB2312" w:eastAsia="仿宋_GB2312" w:cs="仿宋_GB2312"/>
          <w:sz w:val="32"/>
          <w:szCs w:val="32"/>
        </w:rPr>
      </w:pPr>
    </w:p>
    <w:sectPr>
      <w:pgSz w:w="16838" w:h="11906" w:orient="landscape"/>
      <w:pgMar w:top="283" w:right="1157" w:bottom="283" w:left="93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mYTFiYTJlNGMxNTc4NDBiY2NhZDg0NzcwODc0YWUifQ=="/>
  </w:docVars>
  <w:rsids>
    <w:rsidRoot w:val="080E7B1F"/>
    <w:rsid w:val="002B2BE2"/>
    <w:rsid w:val="00407B3D"/>
    <w:rsid w:val="00506CDD"/>
    <w:rsid w:val="0210321C"/>
    <w:rsid w:val="025666DE"/>
    <w:rsid w:val="02EF1E8A"/>
    <w:rsid w:val="041A4B69"/>
    <w:rsid w:val="04CB4029"/>
    <w:rsid w:val="07B60F75"/>
    <w:rsid w:val="07BD7601"/>
    <w:rsid w:val="080E7B1F"/>
    <w:rsid w:val="08A76EF7"/>
    <w:rsid w:val="08B44B57"/>
    <w:rsid w:val="0A745713"/>
    <w:rsid w:val="0AB063A2"/>
    <w:rsid w:val="0ACB0F75"/>
    <w:rsid w:val="0B731EED"/>
    <w:rsid w:val="0D164F83"/>
    <w:rsid w:val="0E6226F7"/>
    <w:rsid w:val="0EB54ECC"/>
    <w:rsid w:val="0F872CE8"/>
    <w:rsid w:val="104D51D4"/>
    <w:rsid w:val="1059048B"/>
    <w:rsid w:val="11100073"/>
    <w:rsid w:val="1285750E"/>
    <w:rsid w:val="14A0682A"/>
    <w:rsid w:val="1564628A"/>
    <w:rsid w:val="15FA74E9"/>
    <w:rsid w:val="16804237"/>
    <w:rsid w:val="16FB0F92"/>
    <w:rsid w:val="1784188A"/>
    <w:rsid w:val="181E54C4"/>
    <w:rsid w:val="183C74C7"/>
    <w:rsid w:val="1B09140A"/>
    <w:rsid w:val="1B5843F4"/>
    <w:rsid w:val="1B972A0D"/>
    <w:rsid w:val="1BBE30B8"/>
    <w:rsid w:val="1FBD5958"/>
    <w:rsid w:val="1FD255CD"/>
    <w:rsid w:val="210C5746"/>
    <w:rsid w:val="26964247"/>
    <w:rsid w:val="274026F8"/>
    <w:rsid w:val="27A96F47"/>
    <w:rsid w:val="2AE84B5C"/>
    <w:rsid w:val="2B054E4E"/>
    <w:rsid w:val="2C7D0568"/>
    <w:rsid w:val="2E7203C8"/>
    <w:rsid w:val="2FAA64AB"/>
    <w:rsid w:val="311779D7"/>
    <w:rsid w:val="32992A21"/>
    <w:rsid w:val="32DE2F9B"/>
    <w:rsid w:val="331B2029"/>
    <w:rsid w:val="33A40956"/>
    <w:rsid w:val="346E6803"/>
    <w:rsid w:val="348A6935"/>
    <w:rsid w:val="35A149B6"/>
    <w:rsid w:val="366F7121"/>
    <w:rsid w:val="375564CF"/>
    <w:rsid w:val="37F92B6D"/>
    <w:rsid w:val="39A020A4"/>
    <w:rsid w:val="3A8A0CF6"/>
    <w:rsid w:val="3B9A4CFB"/>
    <w:rsid w:val="3D5B56FC"/>
    <w:rsid w:val="3E6071EC"/>
    <w:rsid w:val="3F7A7718"/>
    <w:rsid w:val="3FEE324A"/>
    <w:rsid w:val="40283D99"/>
    <w:rsid w:val="4157311A"/>
    <w:rsid w:val="418D716C"/>
    <w:rsid w:val="41D3159C"/>
    <w:rsid w:val="422505D8"/>
    <w:rsid w:val="424A46F9"/>
    <w:rsid w:val="424E44C8"/>
    <w:rsid w:val="45552E54"/>
    <w:rsid w:val="456510DB"/>
    <w:rsid w:val="45CD2A1A"/>
    <w:rsid w:val="46433569"/>
    <w:rsid w:val="47163DD9"/>
    <w:rsid w:val="480B3280"/>
    <w:rsid w:val="48EB6321"/>
    <w:rsid w:val="49721BE6"/>
    <w:rsid w:val="4E065115"/>
    <w:rsid w:val="4E146C4B"/>
    <w:rsid w:val="4EB242E9"/>
    <w:rsid w:val="4F7A7C5B"/>
    <w:rsid w:val="51A807E4"/>
    <w:rsid w:val="53CA2DA6"/>
    <w:rsid w:val="541C0D00"/>
    <w:rsid w:val="54343EB6"/>
    <w:rsid w:val="55C5563B"/>
    <w:rsid w:val="55CA5EB7"/>
    <w:rsid w:val="5614122C"/>
    <w:rsid w:val="568A3BF9"/>
    <w:rsid w:val="56B75990"/>
    <w:rsid w:val="59314455"/>
    <w:rsid w:val="5BF70B72"/>
    <w:rsid w:val="5CA139A4"/>
    <w:rsid w:val="5E177132"/>
    <w:rsid w:val="60E05C0B"/>
    <w:rsid w:val="61512E34"/>
    <w:rsid w:val="631445C1"/>
    <w:rsid w:val="639B42E9"/>
    <w:rsid w:val="63B757A8"/>
    <w:rsid w:val="6584425F"/>
    <w:rsid w:val="679E78B0"/>
    <w:rsid w:val="67B72A24"/>
    <w:rsid w:val="67D521D9"/>
    <w:rsid w:val="6831170C"/>
    <w:rsid w:val="686D054C"/>
    <w:rsid w:val="691A59EE"/>
    <w:rsid w:val="6A5817BE"/>
    <w:rsid w:val="6A864AC1"/>
    <w:rsid w:val="6AD02EDB"/>
    <w:rsid w:val="6E7853B1"/>
    <w:rsid w:val="6F5E29F5"/>
    <w:rsid w:val="6FD8457F"/>
    <w:rsid w:val="7069615F"/>
    <w:rsid w:val="70A90B19"/>
    <w:rsid w:val="70AF0C51"/>
    <w:rsid w:val="73377338"/>
    <w:rsid w:val="74360436"/>
    <w:rsid w:val="74664BAC"/>
    <w:rsid w:val="756B742A"/>
    <w:rsid w:val="75B33643"/>
    <w:rsid w:val="764B09F2"/>
    <w:rsid w:val="77C25799"/>
    <w:rsid w:val="780B6871"/>
    <w:rsid w:val="78C755C4"/>
    <w:rsid w:val="79327493"/>
    <w:rsid w:val="7984105F"/>
    <w:rsid w:val="7A15435B"/>
    <w:rsid w:val="7AC42B6F"/>
    <w:rsid w:val="7CE643A1"/>
    <w:rsid w:val="7DD81BC4"/>
    <w:rsid w:val="7E146E60"/>
    <w:rsid w:val="7F1F6B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keepNext/>
      <w:keepLines/>
      <w:spacing w:before="260" w:after="260" w:line="416" w:lineRule="atLeast"/>
      <w:outlineLvl w:val="2"/>
    </w:pPr>
    <w:rPr>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Normal Indent"/>
    <w:basedOn w:val="1"/>
    <w:next w:val="5"/>
    <w:unhideWhenUsed/>
    <w:qFormat/>
    <w:uiPriority w:val="0"/>
    <w:pPr>
      <w:ind w:firstLine="420" w:firstLineChars="200"/>
    </w:pPr>
  </w:style>
  <w:style w:type="paragraph" w:customStyle="1" w:styleId="5">
    <w:name w:val="表头"/>
    <w:basedOn w:val="6"/>
    <w:next w:val="1"/>
    <w:qFormat/>
    <w:uiPriority w:val="0"/>
    <w:pPr>
      <w:adjustRightInd w:val="0"/>
      <w:snapToGrid w:val="0"/>
      <w:ind w:left="0" w:firstLine="0" w:firstLineChars="0"/>
    </w:pPr>
    <w:rPr>
      <w:rFonts w:ascii="Times New Roman" w:hAnsi="Times New Roman" w:eastAsia="黑体"/>
      <w:sz w:val="24"/>
      <w:szCs w:val="28"/>
    </w:rPr>
  </w:style>
  <w:style w:type="paragraph" w:styleId="6">
    <w:name w:val="List"/>
    <w:basedOn w:val="1"/>
    <w:qFormat/>
    <w:uiPriority w:val="0"/>
    <w:pPr>
      <w:ind w:left="200" w:hanging="200" w:hangingChars="200"/>
    </w:pPr>
  </w:style>
  <w:style w:type="paragraph" w:styleId="7">
    <w:name w:val="Body Text"/>
    <w:basedOn w:val="1"/>
    <w:next w:val="8"/>
    <w:qFormat/>
    <w:uiPriority w:val="0"/>
    <w:pPr>
      <w:spacing w:line="520" w:lineRule="exact"/>
      <w:ind w:firstLine="200" w:firstLineChars="200"/>
    </w:pPr>
    <w:rPr>
      <w:sz w:val="28"/>
    </w:rPr>
  </w:style>
  <w:style w:type="paragraph" w:customStyle="1" w:styleId="8">
    <w:name w:val="Date1"/>
    <w:basedOn w:val="1"/>
    <w:next w:val="1"/>
    <w:qFormat/>
    <w:uiPriority w:val="0"/>
    <w:pPr>
      <w:adjustRightInd w:val="0"/>
      <w:jc w:val="left"/>
      <w:textAlignment w:val="baseline"/>
    </w:pPr>
    <w:rPr>
      <w:rFonts w:ascii="宋体" w:hAnsi="宋体"/>
      <w:sz w:val="28"/>
      <w:szCs w:val="20"/>
    </w:rPr>
  </w:style>
  <w:style w:type="paragraph" w:styleId="9">
    <w:name w:val="Body Text Indent"/>
    <w:basedOn w:val="1"/>
    <w:next w:val="1"/>
    <w:uiPriority w:val="0"/>
    <w:pPr>
      <w:spacing w:after="120"/>
      <w:ind w:left="420" w:leftChars="200"/>
    </w:pPr>
    <w:rPr>
      <w:kern w:val="0"/>
      <w:sz w:val="24"/>
      <w:szCs w:val="20"/>
    </w:rPr>
  </w:style>
  <w:style w:type="paragraph" w:styleId="10">
    <w:name w:val="Plain Text"/>
    <w:basedOn w:val="1"/>
    <w:next w:val="11"/>
    <w:qFormat/>
    <w:uiPriority w:val="0"/>
    <w:rPr>
      <w:rFonts w:ascii="宋体" w:hAnsi="Courier New" w:cs="Courier New"/>
      <w:szCs w:val="21"/>
    </w:rPr>
  </w:style>
  <w:style w:type="paragraph" w:styleId="11">
    <w:name w:val="toc 1"/>
    <w:basedOn w:val="1"/>
    <w:next w:val="1"/>
    <w:qFormat/>
    <w:uiPriority w:val="0"/>
  </w:style>
  <w:style w:type="paragraph" w:styleId="12">
    <w:name w:val="index heading"/>
    <w:basedOn w:val="1"/>
    <w:next w:val="13"/>
    <w:qFormat/>
    <w:uiPriority w:val="0"/>
    <w:rPr>
      <w:rFonts w:ascii="Arial" w:hAnsi="Arial"/>
      <w:b/>
    </w:rPr>
  </w:style>
  <w:style w:type="paragraph" w:styleId="13">
    <w:name w:val="index 1"/>
    <w:basedOn w:val="1"/>
    <w:next w:val="1"/>
    <w:qFormat/>
    <w:uiPriority w:val="0"/>
    <w:pPr>
      <w:adjustRightInd w:val="0"/>
      <w:spacing w:line="240" w:lineRule="atLeast"/>
      <w:jc w:val="center"/>
      <w:textAlignment w:val="baseline"/>
    </w:pPr>
    <w:rPr>
      <w:rFonts w:ascii="宋体" w:hAnsi="宋体"/>
      <w:kern w:val="0"/>
    </w:rPr>
  </w:style>
  <w:style w:type="paragraph" w:styleId="14">
    <w:name w:val="Body Text 2"/>
    <w:basedOn w:val="1"/>
    <w:qFormat/>
    <w:uiPriority w:val="0"/>
    <w:pPr>
      <w:snapToGrid w:val="0"/>
      <w:jc w:val="center"/>
    </w:pPr>
    <w:rPr>
      <w:sz w:val="28"/>
      <w:szCs w:val="20"/>
    </w:rPr>
  </w:style>
  <w:style w:type="paragraph" w:styleId="15">
    <w:name w:val="Normal (Web)"/>
    <w:basedOn w:val="1"/>
    <w:qFormat/>
    <w:uiPriority w:val="0"/>
    <w:rPr>
      <w:sz w:val="24"/>
    </w:rPr>
  </w:style>
  <w:style w:type="paragraph" w:styleId="16">
    <w:name w:val="Body Text First Indent 2"/>
    <w:basedOn w:val="9"/>
    <w:next w:val="1"/>
    <w:unhideWhenUsed/>
    <w:qFormat/>
    <w:uiPriority w:val="99"/>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正文1"/>
    <w:basedOn w:val="1"/>
    <w:next w:val="1"/>
    <w:qFormat/>
    <w:uiPriority w:val="0"/>
    <w:pPr>
      <w:spacing w:line="360" w:lineRule="auto"/>
      <w:ind w:firstLine="480" w:firstLineChars="200"/>
    </w:pPr>
    <w:rPr>
      <w:kern w:val="0"/>
      <w:sz w:val="20"/>
      <w:szCs w:val="20"/>
    </w:rPr>
  </w:style>
  <w:style w:type="paragraph" w:customStyle="1" w:styleId="21">
    <w:name w:val="章标题"/>
    <w:next w:val="22"/>
    <w:qFormat/>
    <w:uiPriority w:val="0"/>
    <w:pPr>
      <w:spacing w:beforeLines="100" w:afterLines="100" w:line="360" w:lineRule="auto"/>
      <w:ind w:firstLine="200" w:firstLineChars="200"/>
      <w:jc w:val="both"/>
      <w:outlineLvl w:val="1"/>
    </w:pPr>
    <w:rPr>
      <w:rFonts w:ascii="黑体" w:hAnsi="Calibri" w:eastAsia="黑体" w:cs="Times New Roman"/>
      <w:sz w:val="21"/>
      <w:szCs w:val="21"/>
      <w:lang w:val="en-US" w:eastAsia="zh-CN" w:bidi="ar-SA"/>
    </w:rPr>
  </w:style>
  <w:style w:type="paragraph" w:customStyle="1" w:styleId="22">
    <w:name w:val="段"/>
    <w:qFormat/>
    <w:uiPriority w:val="0"/>
    <w:pPr>
      <w:tabs>
        <w:tab w:val="center" w:pos="4201"/>
        <w:tab w:val="right" w:leader="dot" w:pos="9298"/>
      </w:tabs>
      <w:autoSpaceDE w:val="0"/>
      <w:autoSpaceDN w:val="0"/>
      <w:spacing w:line="360" w:lineRule="auto"/>
      <w:ind w:firstLine="420" w:firstLineChars="200"/>
      <w:jc w:val="both"/>
    </w:pPr>
    <w:rPr>
      <w:rFonts w:ascii="宋体" w:hAnsi="Calibri" w:eastAsia="宋体" w:cs="Times New Roman"/>
      <w:sz w:val="21"/>
      <w:szCs w:val="21"/>
      <w:lang w:val="en-US" w:eastAsia="zh-CN" w:bidi="ar-SA"/>
    </w:rPr>
  </w:style>
  <w:style w:type="paragraph" w:customStyle="1" w:styleId="23">
    <w:name w:val="Default"/>
    <w:basedOn w:val="1"/>
    <w:next w:val="12"/>
    <w:qFormat/>
    <w:uiPriority w:val="0"/>
    <w:pPr>
      <w:autoSpaceDE w:val="0"/>
      <w:autoSpaceDN w:val="0"/>
      <w:adjustRightInd w:val="0"/>
      <w:jc w:val="left"/>
    </w:pPr>
    <w:rPr>
      <w:rFonts w:hint="eastAsia" w:ascii="宋体"/>
      <w:color w:val="000000"/>
      <w:kern w:val="0"/>
      <w:sz w:val="24"/>
    </w:rPr>
  </w:style>
  <w:style w:type="paragraph" w:customStyle="1" w:styleId="24">
    <w:name w:val="正文（缩进）"/>
    <w:basedOn w:val="25"/>
    <w:next w:val="1"/>
    <w:qFormat/>
    <w:uiPriority w:val="99"/>
    <w:pPr>
      <w:tabs>
        <w:tab w:val="left" w:pos="4584"/>
      </w:tabs>
      <w:spacing w:line="360" w:lineRule="auto"/>
      <w:ind w:firstLine="480" w:firstLineChars="200"/>
    </w:pPr>
    <w:rPr>
      <w:sz w:val="24"/>
    </w:rPr>
  </w:style>
  <w:style w:type="paragraph" w:customStyle="1" w:styleId="25">
    <w:name w:val="正文(首行缩进)"/>
    <w:basedOn w:val="1"/>
    <w:qFormat/>
    <w:uiPriority w:val="0"/>
    <w:pPr>
      <w:tabs>
        <w:tab w:val="left" w:pos="4584"/>
      </w:tabs>
      <w:adjustRightInd w:val="0"/>
      <w:snapToGrid w:val="0"/>
      <w:jc w:val="center"/>
    </w:pPr>
    <w:rPr>
      <w:rFonts w:ascii="宋体" w:hAnsi="宋体"/>
      <w:snapToGrid w:val="0"/>
      <w:kern w:val="0"/>
      <w:sz w:val="20"/>
      <w:szCs w:val="21"/>
    </w:rPr>
  </w:style>
  <w:style w:type="paragraph" w:customStyle="1" w:styleId="26">
    <w:name w:val="表格"/>
    <w:basedOn w:val="4"/>
    <w:next w:val="1"/>
    <w:qFormat/>
    <w:uiPriority w:val="0"/>
    <w:pPr>
      <w:adjustRightInd w:val="0"/>
      <w:snapToGrid w:val="0"/>
      <w:spacing w:beforeLines="10" w:afterLines="10" w:line="259" w:lineRule="auto"/>
      <w:jc w:val="center"/>
    </w:pPr>
    <w:rPr>
      <w:rFonts w:ascii="宋体"/>
      <w:kern w:val="0"/>
      <w:szCs w:val="20"/>
    </w:rPr>
  </w:style>
  <w:style w:type="paragraph" w:customStyle="1" w:styleId="27">
    <w:name w:val="图表标题"/>
    <w:next w:val="1"/>
    <w:qFormat/>
    <w:uiPriority w:val="0"/>
    <w:pPr>
      <w:spacing w:line="360" w:lineRule="auto"/>
      <w:jc w:val="center"/>
    </w:pPr>
    <w:rPr>
      <w:rFonts w:ascii="Times New Roman" w:hAnsi="Times New Roman" w:eastAsia="黑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3466</Words>
  <Characters>3674</Characters>
  <Lines>6</Lines>
  <Paragraphs>1</Paragraphs>
  <TotalTime>2</TotalTime>
  <ScaleCrop>false</ScaleCrop>
  <LinksUpToDate>false</LinksUpToDate>
  <CharactersWithSpaces>3680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2021-01-14T05:57:00Z</dcterms:created>
  <dc:creator>Administrator</dc:creator>
  <cp:lastModifiedBy>I❥•  FeLo</cp:lastModifiedBy>
  <dcterms:modified xsi:type="dcterms:W3CDTF">2023-02-10T09:51:49Z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1CE23438D83D4CCCAA26BB4F774DD608</vt:lpwstr>
  </property>
</Properties>
</file>