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海原县司法局“双随机”抽查结果公示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82"/>
        <w:gridCol w:w="2360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2" w:hRule="atLeast"/>
        </w:trPr>
        <w:tc>
          <w:tcPr>
            <w:tcW w:w="118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检查对象名单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检查事项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录入人员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抽查结果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审核结果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公示状态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宁夏洁德律师事务所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shd w:val="clear" w:fill="F5F5F5"/>
              </w:rPr>
              <w:t>对律所及律师承办法律援助事项的行政检查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马海祥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未发现问题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宁夏杨聪律师事务所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shd w:val="clear" w:fill="F5F5F5"/>
              </w:rPr>
              <w:t>对律所及律师承办法律援助事项的行政检查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马海祥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未发现问题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宁夏新菜园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shd w:val="clear" w:fill="F5F5F5"/>
              </w:rPr>
              <w:t>对律所及律师承办法律援助事项的行政检查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田玉琴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未发现问题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宁夏杨聪律师事务所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19"/>
                <w:szCs w:val="19"/>
                <w:shd w:val="clear" w:fill="F5F5F5"/>
              </w:rPr>
              <w:t>对律所及律师承办法律援助事项的行政检查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田玉琴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未发现问题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已公示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木子</cp:lastModifiedBy>
  <dcterms:modified xsi:type="dcterms:W3CDTF">2021-11-19T07:17:58Z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2BD8A350EAC74616A08A9603442CB0AF</vt:lpwstr>
  </property>
</Properties>
</file>