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海原县2023年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kern w:val="0"/>
          <w:sz w:val="44"/>
          <w:szCs w:val="44"/>
          <w14:textFill>
            <w14:solidFill>
              <w14:schemeClr w14:val="tx1"/>
            </w14:solidFill>
          </w14:textFill>
        </w:rPr>
        <w:t>农村供水维修改造工程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县农村工作领导小组办公室：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根据区、市、县有关文件精神，现就我单位海原县2023年农村供水维修改造工程绩效评价情况报告如下：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海原县2023年农村供水维修改造工程。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二、项目建设地点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/>
        <w:spacing w:before="0" w:beforeAutospacing="0" w:after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海原县海城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、西安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、树台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、九彩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、红羊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/>
        <w:spacing w:before="0" w:beforeAutospacing="0" w:after="0" w:line="52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李俊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乡、三河镇、七营镇、甘城乡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三、项目建设内容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新铺设及改造供水管道55.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4km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，新建及改造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蓄水池7座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建设及改造阀井共108座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四、项目资金总量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根据海原县2023年统筹整合使用财政涉农资金（年初）实施方案，安排海原县2023年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农村供水维修改造工程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500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万元；根据2023年第一批中央水利发展资金分解计划，安排海原县2023年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农村供水维修改造工程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200万元。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楷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五、任务完成情况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楷体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楷体"/>
          <w:b/>
          <w:bCs/>
          <w:sz w:val="32"/>
          <w:szCs w:val="32"/>
        </w:rPr>
        <w:t>（一）项目</w:t>
      </w:r>
      <w:r>
        <w:rPr>
          <w:rFonts w:hint="eastAsia" w:ascii="Times New Roman" w:hAnsi="Times New Roman" w:eastAsia="仿宋_GB2312" w:cs="楷体"/>
          <w:b/>
          <w:bCs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_GB2312" w:cs="楷体"/>
          <w:b/>
          <w:bCs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项目建设任务已全部完成，累计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铺设及改造供水管道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55.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4km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  <w:t>，新建及改造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蓄水池7座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建设及改造阀井共108座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楷体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楷体"/>
          <w:b/>
          <w:bCs/>
          <w:sz w:val="32"/>
          <w:szCs w:val="32"/>
        </w:rPr>
        <w:t>（二）项目验收决算情况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完成单位、分部及竣工验收。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楷体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楷体"/>
          <w:b/>
          <w:bCs/>
          <w:sz w:val="32"/>
          <w:szCs w:val="32"/>
        </w:rPr>
        <w:t>资金兑付情况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1.项目资金执行情况分析，安排海原县2023年规模化养殖供水工程到位资金700万元，批复投资648.82万元，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支付资金518.36万元，执行率80%，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预计2024年12月底前完成资金兑付。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2.项目资金管理情况分析。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我局项目资金管理严格，严格按照财政整合涉农资金使用相关规定执行，专款专用，未出现挪用、节流、超支等情况，支付的每一笔款项都按照财务管理相关规定办理支付手续，确保资金支出的合理性和合规性。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楷体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楷体"/>
          <w:b/>
          <w:bCs/>
          <w:sz w:val="32"/>
          <w:szCs w:val="32"/>
        </w:rPr>
        <w:t>（四）项目公示公开情况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一是严格落实全面绩效管理要求。科学合理设定绩效目标，对使用衔接资金的项目均进行了绩效申报，财政局对设置的绩效目标进行了批复，将衔接资金使用及绩效目标进行了公示公开。按照批复的绩效目标对绩效运行情况进行了跟踪分析，没有发现资金实际执行与绩效目标偏离较大的情况。二是扎实做好项目资金公告公示。与乡镇对接，按照程序对项目建设进行了公示，包括数量、实施地点、效益等，做到真实、准确、全面、及时对衔接项目资金公告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六、绩效评价开展情况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楷体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楷体"/>
          <w:b/>
          <w:bCs/>
          <w:sz w:val="32"/>
          <w:szCs w:val="32"/>
        </w:rPr>
        <w:t>（一）绩效目标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1.项目资金到位情况。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资金都已全部及时到位。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2.项目资金执行情况。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项目资金严格按照批复的内容安排计划规定进行使用。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3.项目资金管理情况。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严格规范资金使用管理，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明确在资金项目管理中的主体责任及绩效考评职责，规范资金兑付流程，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做到资金专款专用、资金与项目精准对接，对已完成的项目内容能及时完成报账。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楷体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楷体"/>
          <w:b/>
          <w:bCs/>
          <w:sz w:val="32"/>
          <w:szCs w:val="32"/>
        </w:rPr>
        <w:t>（二）目标完成情况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1.产出指标完成情况分析。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（1）数量指标。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新建7座钢筋砼蓄水池、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铺设及改造供水管道55.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4km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新增自来水入户126户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全部完成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（2）质量指标。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单位、分部工程验收结论均为合格。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（3）时效指标。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工程建设任务均在批复工期4个月内完成。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（4）成本指标。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未出现超批复投资的情况。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2.效益指标完成情况分析。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（1）经济效益指标。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工程新增入户126户，改变拉水存入窖中饮用的方式，因饮水支出下降，节省用水成本。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（2）社会效益指标。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对13处供水工程进行改造提升，解决了漏水、易爆管等问题，大大提升了供水保证率，涉及用水户饮水安全保障质量和水平显著提升。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（3）可持续影响指标。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项目设计使用年限大于等10年，单位、分部验收均达到合格，符合设计要求。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3.满意度指标完成情况分析。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通过走访，受益群众满意度99%。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七、指标效益分析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对实施的项目，资金及时拨付到位，支出合理合规，实现了预定的绩效目标，同时立项依据充分，目标明确，各项工作得到有序开展，明显提高了为民服务的能力和水平，为巩固脱贫攻坚成果和全面推进乡村振兴发挥了重要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八、偏离绩效目标的原因及下一步改进措施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项目无偏离绩效目标的情况。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九、绩效自评结果运用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在项目建设过程中的前期手续、项目建设规模、项目投资情况、施工单位、监理单位等全部通过政府网站、乡村级公示栏等方式进行公示公开，确保充分接受监督，确保项目公示公开落到实处，不断加强对项目公示公开的监督检查力度，将公示公开情况列入资金绩效评价的重要内容，切实增强资金使用的透明度；通过查阅资料、实地调查等方式，从项目实施的经济性、效率性、效益性及项目对经济社会的影响等方面仅进行了客观分析。通过绩效评价发现和解决了一些问题，提升了项目资金管理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left="1278" w:leftChars="304" w:right="0" w:rightChars="0" w:hanging="640" w:hanging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left="1278" w:leftChars="304" w:right="0" w:rightChars="0" w:hanging="640" w:hanging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附：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项目绩效目标自评表（海原县2023年农村供水维修改造工程）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846"/>
        <w:gridCol w:w="1080"/>
        <w:gridCol w:w="1523"/>
        <w:gridCol w:w="789"/>
        <w:gridCol w:w="852"/>
        <w:gridCol w:w="852"/>
        <w:gridCol w:w="756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项目绩效目标自评表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海原县2023年农村供水维修改造工程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填报人姓名及电话</w:t>
            </w:r>
          </w:p>
        </w:tc>
        <w:tc>
          <w:tcPr>
            <w:tcW w:w="15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张海春  137****1837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自治区水利厅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5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海原县水务局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预算安排</w:t>
            </w:r>
          </w:p>
        </w:tc>
        <w:tc>
          <w:tcPr>
            <w:tcW w:w="1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实际执行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年度金额：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648.82 </w:t>
            </w:r>
          </w:p>
        </w:tc>
        <w:tc>
          <w:tcPr>
            <w:tcW w:w="1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518.36 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80%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6.391418267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其中：中央衔接资金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 自治区衔接资金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专项资金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148.82 </w:t>
            </w:r>
          </w:p>
        </w:tc>
        <w:tc>
          <w:tcPr>
            <w:tcW w:w="1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18.36 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12.34%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市县配套资金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500.00 </w:t>
            </w:r>
          </w:p>
        </w:tc>
        <w:tc>
          <w:tcPr>
            <w:tcW w:w="1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500.00 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</w:p>
        </w:tc>
        <w:tc>
          <w:tcPr>
            <w:tcW w:w="263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20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年度目标完成情况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1.新增入户126户。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2.新建蓄水池7座。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3.铺设管道55.44公里。</w:t>
            </w:r>
          </w:p>
        </w:tc>
        <w:tc>
          <w:tcPr>
            <w:tcW w:w="20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1.新增入户126户。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2.新建蓄水池7座。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3.铺设管道55.44公里。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             指标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           指标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目标值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        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          指标（50分）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数量指标（8分）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钢筋砼蓄水池（座）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输水管道（公里）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新增入户（户）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质量指标（8分）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工程竣工验收为合格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时效指标（20分）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施工工期（月）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成本指标（10分）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工程结算资金（万元）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竣工结算未完成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        指标（40分）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社会效益指标（7分）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保障工程正常运行（处）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指标（6分）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节省水费支出（户）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可持续影响指标（10分）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项目使用年限（年）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服务对象满意度指标（10分）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受益群众满意度（%）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zA1ZmU3MDNiN2U1YjBiYzM5YTBjMmU4NGNkZjIifQ=="/>
  </w:docVars>
  <w:rsids>
    <w:rsidRoot w:val="00066636"/>
    <w:rsid w:val="00066636"/>
    <w:rsid w:val="001B1456"/>
    <w:rsid w:val="002E7062"/>
    <w:rsid w:val="00350DAC"/>
    <w:rsid w:val="003B48AD"/>
    <w:rsid w:val="004F0D4C"/>
    <w:rsid w:val="00651708"/>
    <w:rsid w:val="009250D6"/>
    <w:rsid w:val="00B508E7"/>
    <w:rsid w:val="00BA1752"/>
    <w:rsid w:val="00BE50FD"/>
    <w:rsid w:val="00CD7BE6"/>
    <w:rsid w:val="00D7215A"/>
    <w:rsid w:val="00DA68C7"/>
    <w:rsid w:val="00F84A9C"/>
    <w:rsid w:val="00FF393E"/>
    <w:rsid w:val="04307C27"/>
    <w:rsid w:val="12E370F1"/>
    <w:rsid w:val="171D0251"/>
    <w:rsid w:val="18FD6EA2"/>
    <w:rsid w:val="19C462A4"/>
    <w:rsid w:val="1F560E0A"/>
    <w:rsid w:val="223C534A"/>
    <w:rsid w:val="22BF7130"/>
    <w:rsid w:val="256A34BD"/>
    <w:rsid w:val="28E72E57"/>
    <w:rsid w:val="2B6B556F"/>
    <w:rsid w:val="2D237AB2"/>
    <w:rsid w:val="2ED16CE1"/>
    <w:rsid w:val="2F902AFB"/>
    <w:rsid w:val="2FDC2EB1"/>
    <w:rsid w:val="31786561"/>
    <w:rsid w:val="335D0E17"/>
    <w:rsid w:val="339C72A7"/>
    <w:rsid w:val="3A17494B"/>
    <w:rsid w:val="3C7C0A58"/>
    <w:rsid w:val="3FD03A13"/>
    <w:rsid w:val="405A480F"/>
    <w:rsid w:val="40DE6811"/>
    <w:rsid w:val="45DF40FA"/>
    <w:rsid w:val="48D339EC"/>
    <w:rsid w:val="4C306935"/>
    <w:rsid w:val="4EB12E65"/>
    <w:rsid w:val="4ECB0C81"/>
    <w:rsid w:val="4F5A5D85"/>
    <w:rsid w:val="5227718B"/>
    <w:rsid w:val="572B3C88"/>
    <w:rsid w:val="59AD2AC2"/>
    <w:rsid w:val="5D7B32F8"/>
    <w:rsid w:val="63412B0F"/>
    <w:rsid w:val="675C175D"/>
    <w:rsid w:val="67A37698"/>
    <w:rsid w:val="69837BFD"/>
    <w:rsid w:val="6C205F0C"/>
    <w:rsid w:val="6E07275D"/>
    <w:rsid w:val="721E7D2E"/>
    <w:rsid w:val="77174FAA"/>
    <w:rsid w:val="776537F1"/>
    <w:rsid w:val="78BB26D4"/>
    <w:rsid w:val="79284369"/>
    <w:rsid w:val="799D50A3"/>
    <w:rsid w:val="7CD5684D"/>
    <w:rsid w:val="7E785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spacing w:line="600" w:lineRule="exact"/>
      <w:ind w:firstLine="555"/>
    </w:pPr>
    <w:rPr>
      <w:bCs/>
      <w:sz w:val="28"/>
      <w:szCs w:val="20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before="100" w:beforeAutospacing="1"/>
      <w:ind w:left="0" w:firstLine="420" w:firstLineChars="200"/>
    </w:pPr>
    <w:rPr>
      <w:rFonts w:ascii="Times New Roman" w:hAnsi="仿宋" w:eastAsia="黑体"/>
      <w:b/>
      <w:bCs/>
    </w:r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4">
    <w:name w:val="font71"/>
    <w:basedOn w:val="10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15">
    <w:name w:val="font9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7">
    <w:name w:val="font2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8">
    <w:name w:val="font31"/>
    <w:basedOn w:val="10"/>
    <w:qFormat/>
    <w:uiPriority w:val="0"/>
    <w:rPr>
      <w:rFonts w:hint="eastAsia" w:ascii="黑体" w:hAnsi="宋体" w:eastAsia="黑体" w:cs="黑体"/>
      <w:b/>
      <w:bCs/>
      <w:color w:val="000000"/>
      <w:sz w:val="40"/>
      <w:szCs w:val="40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20">
    <w:name w:val="font171"/>
    <w:basedOn w:val="10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21">
    <w:name w:val="font112"/>
    <w:basedOn w:val="10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22">
    <w:name w:val="font181"/>
    <w:basedOn w:val="10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3576</Words>
  <Characters>3992</Characters>
  <Lines>3</Lines>
  <Paragraphs>1</Paragraphs>
  <TotalTime>127</TotalTime>
  <ScaleCrop>false</ScaleCrop>
  <LinksUpToDate>false</LinksUpToDate>
  <CharactersWithSpaces>4053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2019-12-13T08:46:00Z</dcterms:created>
  <dc:creator>Administrator</dc:creator>
  <cp:lastModifiedBy>kylin</cp:lastModifiedBy>
  <cp:lastPrinted>2024-03-20T17:49:00Z</cp:lastPrinted>
  <dcterms:modified xsi:type="dcterms:W3CDTF">2024-05-14T10:30:52Z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8EC698EA74674ED9832A77EF730995BC</vt:lpwstr>
  </property>
</Properties>
</file>