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B4" w:rsidRDefault="007E02B4" w:rsidP="007E02B4">
      <w:pPr>
        <w:widowControl/>
        <w:snapToGrid w:val="0"/>
        <w:spacing w:line="580" w:lineRule="exact"/>
        <w:jc w:val="center"/>
        <w:rPr>
          <w:rFonts w:ascii="仿宋" w:eastAsia="仿宋" w:hAnsi="仿宋" w:hint="eastAsia"/>
          <w:b/>
          <w:bCs/>
          <w:kern w:val="0"/>
          <w:sz w:val="32"/>
          <w:szCs w:val="32"/>
        </w:rPr>
      </w:pPr>
      <w:r>
        <w:rPr>
          <w:rFonts w:ascii="方正小标宋简体" w:eastAsia="方正小标宋简体" w:hint="eastAsia"/>
          <w:kern w:val="0"/>
          <w:sz w:val="36"/>
          <w:szCs w:val="36"/>
        </w:rPr>
        <w:t>海原县市场监督管理局2019年大气污染防治工作五定方案</w:t>
      </w:r>
    </w:p>
    <w:p w:rsidR="007E02B4" w:rsidRDefault="007E02B4" w:rsidP="007E02B4">
      <w:pPr>
        <w:widowControl/>
        <w:snapToGrid w:val="0"/>
        <w:spacing w:line="580" w:lineRule="exact"/>
        <w:jc w:val="left"/>
        <w:rPr>
          <w:rFonts w:ascii="仿宋" w:eastAsia="仿宋" w:hAnsi="仿宋"/>
          <w:b/>
          <w:bCs/>
          <w:kern w:val="0"/>
          <w:sz w:val="32"/>
          <w:szCs w:val="32"/>
        </w:rPr>
      </w:pPr>
      <w:r>
        <w:rPr>
          <w:rFonts w:ascii="仿宋" w:eastAsia="仿宋" w:hAnsi="仿宋" w:hint="eastAsia"/>
          <w:b/>
          <w:bCs/>
          <w:kern w:val="0"/>
          <w:sz w:val="32"/>
          <w:szCs w:val="32"/>
        </w:rPr>
        <w:t>附件：</w:t>
      </w:r>
    </w:p>
    <w:tbl>
      <w:tblPr>
        <w:tblW w:w="1464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03"/>
        <w:gridCol w:w="2071"/>
        <w:gridCol w:w="4740"/>
        <w:gridCol w:w="2024"/>
        <w:gridCol w:w="1509"/>
        <w:gridCol w:w="1559"/>
        <w:gridCol w:w="1934"/>
      </w:tblGrid>
      <w:tr w:rsidR="007E02B4" w:rsidTr="007E02B4">
        <w:trPr>
          <w:trHeight w:val="880"/>
        </w:trPr>
        <w:tc>
          <w:tcPr>
            <w:tcW w:w="803" w:type="dxa"/>
            <w:noWrap/>
            <w:tcMar>
              <w:top w:w="0" w:type="dxa"/>
              <w:left w:w="108" w:type="dxa"/>
              <w:bottom w:w="0" w:type="dxa"/>
              <w:right w:w="108" w:type="dxa"/>
            </w:tcMar>
            <w:vAlign w:val="center"/>
            <w:hideMark/>
          </w:tcPr>
          <w:p w:rsidR="007E02B4" w:rsidRDefault="007E02B4">
            <w:pPr>
              <w:widowControl/>
              <w:autoSpaceDE w:val="0"/>
              <w:spacing w:line="400" w:lineRule="exact"/>
              <w:jc w:val="center"/>
              <w:rPr>
                <w:rFonts w:ascii="Times New Roman" w:hAnsi="Times New Roman"/>
                <w:sz w:val="20"/>
                <w:szCs w:val="20"/>
              </w:rPr>
            </w:pPr>
            <w:r>
              <w:rPr>
                <w:rFonts w:ascii="宋体" w:hAnsi="宋体" w:hint="eastAsia"/>
                <w:kern w:val="0"/>
                <w:sz w:val="22"/>
                <w:szCs w:val="22"/>
              </w:rPr>
              <w:t>序号</w:t>
            </w:r>
          </w:p>
        </w:tc>
        <w:tc>
          <w:tcPr>
            <w:tcW w:w="2071" w:type="dxa"/>
            <w:noWrap/>
            <w:tcMar>
              <w:top w:w="0" w:type="dxa"/>
              <w:left w:w="108" w:type="dxa"/>
              <w:bottom w:w="0" w:type="dxa"/>
              <w:right w:w="108" w:type="dxa"/>
            </w:tcMar>
            <w:vAlign w:val="center"/>
            <w:hideMark/>
          </w:tcPr>
          <w:p w:rsidR="007E02B4" w:rsidRDefault="007E02B4">
            <w:pPr>
              <w:widowControl/>
              <w:autoSpaceDE w:val="0"/>
              <w:spacing w:line="400" w:lineRule="exact"/>
              <w:jc w:val="center"/>
              <w:rPr>
                <w:rFonts w:ascii="Times New Roman" w:hAnsi="Times New Roman"/>
                <w:sz w:val="20"/>
                <w:szCs w:val="20"/>
              </w:rPr>
            </w:pPr>
            <w:r>
              <w:rPr>
                <w:rFonts w:ascii="宋体" w:hAnsi="宋体" w:hint="eastAsia"/>
                <w:kern w:val="0"/>
                <w:sz w:val="22"/>
                <w:szCs w:val="22"/>
              </w:rPr>
              <w:t>工作任务</w:t>
            </w:r>
          </w:p>
        </w:tc>
        <w:tc>
          <w:tcPr>
            <w:tcW w:w="4740" w:type="dxa"/>
            <w:noWrap/>
            <w:tcMar>
              <w:top w:w="0" w:type="dxa"/>
              <w:left w:w="108" w:type="dxa"/>
              <w:bottom w:w="0" w:type="dxa"/>
              <w:right w:w="108" w:type="dxa"/>
            </w:tcMar>
            <w:vAlign w:val="center"/>
            <w:hideMark/>
          </w:tcPr>
          <w:p w:rsidR="007E02B4" w:rsidRDefault="007E02B4">
            <w:pPr>
              <w:widowControl/>
              <w:autoSpaceDE w:val="0"/>
              <w:spacing w:line="400" w:lineRule="exact"/>
              <w:jc w:val="center"/>
              <w:rPr>
                <w:rFonts w:ascii="Times New Roman" w:hAnsi="Times New Roman"/>
                <w:sz w:val="20"/>
                <w:szCs w:val="20"/>
              </w:rPr>
            </w:pPr>
            <w:r>
              <w:rPr>
                <w:rFonts w:ascii="宋体" w:hAnsi="宋体" w:hint="eastAsia"/>
                <w:kern w:val="0"/>
                <w:sz w:val="22"/>
                <w:szCs w:val="22"/>
              </w:rPr>
              <w:t>工作措施</w:t>
            </w:r>
          </w:p>
        </w:tc>
        <w:tc>
          <w:tcPr>
            <w:tcW w:w="2024" w:type="dxa"/>
            <w:noWrap/>
            <w:tcMar>
              <w:top w:w="0" w:type="dxa"/>
              <w:left w:w="108" w:type="dxa"/>
              <w:bottom w:w="0" w:type="dxa"/>
              <w:right w:w="108" w:type="dxa"/>
            </w:tcMar>
            <w:vAlign w:val="center"/>
            <w:hideMark/>
          </w:tcPr>
          <w:p w:rsidR="007E02B4" w:rsidRDefault="007E02B4">
            <w:pPr>
              <w:widowControl/>
              <w:autoSpaceDE w:val="0"/>
              <w:spacing w:line="400" w:lineRule="exact"/>
              <w:jc w:val="center"/>
              <w:rPr>
                <w:rFonts w:ascii="Times New Roman" w:hAnsi="Times New Roman"/>
                <w:sz w:val="20"/>
                <w:szCs w:val="20"/>
              </w:rPr>
            </w:pPr>
            <w:r>
              <w:rPr>
                <w:rFonts w:ascii="宋体" w:hAnsi="宋体" w:hint="eastAsia"/>
                <w:kern w:val="0"/>
                <w:sz w:val="22"/>
                <w:szCs w:val="22"/>
              </w:rPr>
              <w:t>责任单位</w:t>
            </w:r>
          </w:p>
        </w:tc>
        <w:tc>
          <w:tcPr>
            <w:tcW w:w="1509" w:type="dxa"/>
            <w:noWrap/>
            <w:tcMar>
              <w:top w:w="0" w:type="dxa"/>
              <w:left w:w="108" w:type="dxa"/>
              <w:bottom w:w="0" w:type="dxa"/>
              <w:right w:w="108" w:type="dxa"/>
            </w:tcMar>
            <w:vAlign w:val="center"/>
            <w:hideMark/>
          </w:tcPr>
          <w:p w:rsidR="007E02B4" w:rsidRDefault="007E02B4">
            <w:pPr>
              <w:widowControl/>
              <w:autoSpaceDE w:val="0"/>
              <w:spacing w:line="400" w:lineRule="exact"/>
              <w:jc w:val="center"/>
              <w:rPr>
                <w:rFonts w:ascii="Times New Roman" w:hAnsi="Times New Roman"/>
                <w:sz w:val="20"/>
                <w:szCs w:val="20"/>
              </w:rPr>
            </w:pPr>
            <w:r>
              <w:rPr>
                <w:rFonts w:ascii="宋体" w:hAnsi="宋体" w:hint="eastAsia"/>
                <w:kern w:val="0"/>
                <w:sz w:val="22"/>
                <w:szCs w:val="22"/>
              </w:rPr>
              <w:t>责任人</w:t>
            </w:r>
          </w:p>
        </w:tc>
        <w:tc>
          <w:tcPr>
            <w:tcW w:w="1559" w:type="dxa"/>
            <w:noWrap/>
            <w:tcMar>
              <w:top w:w="0" w:type="dxa"/>
              <w:left w:w="108" w:type="dxa"/>
              <w:bottom w:w="0" w:type="dxa"/>
              <w:right w:w="108" w:type="dxa"/>
            </w:tcMar>
            <w:vAlign w:val="center"/>
            <w:hideMark/>
          </w:tcPr>
          <w:p w:rsidR="007E02B4" w:rsidRDefault="007E02B4">
            <w:pPr>
              <w:widowControl/>
              <w:autoSpaceDE w:val="0"/>
              <w:spacing w:line="400" w:lineRule="exact"/>
              <w:jc w:val="center"/>
              <w:rPr>
                <w:rFonts w:ascii="Times New Roman" w:hAnsi="Times New Roman"/>
                <w:sz w:val="20"/>
                <w:szCs w:val="20"/>
              </w:rPr>
            </w:pPr>
            <w:r>
              <w:rPr>
                <w:rFonts w:ascii="宋体" w:hAnsi="宋体" w:hint="eastAsia"/>
                <w:kern w:val="0"/>
                <w:sz w:val="22"/>
                <w:szCs w:val="22"/>
              </w:rPr>
              <w:t>责任领导</w:t>
            </w:r>
          </w:p>
        </w:tc>
        <w:tc>
          <w:tcPr>
            <w:tcW w:w="1934" w:type="dxa"/>
            <w:noWrap/>
            <w:tcMar>
              <w:top w:w="0" w:type="dxa"/>
              <w:left w:w="108" w:type="dxa"/>
              <w:bottom w:w="0" w:type="dxa"/>
              <w:right w:w="108" w:type="dxa"/>
            </w:tcMar>
            <w:vAlign w:val="center"/>
            <w:hideMark/>
          </w:tcPr>
          <w:p w:rsidR="007E02B4" w:rsidRDefault="007E02B4">
            <w:pPr>
              <w:widowControl/>
              <w:autoSpaceDE w:val="0"/>
              <w:spacing w:line="400" w:lineRule="exact"/>
              <w:jc w:val="center"/>
              <w:rPr>
                <w:rFonts w:ascii="Times New Roman" w:hAnsi="Times New Roman"/>
                <w:sz w:val="20"/>
                <w:szCs w:val="20"/>
              </w:rPr>
            </w:pPr>
            <w:r>
              <w:rPr>
                <w:rFonts w:ascii="宋体" w:hAnsi="宋体" w:hint="eastAsia"/>
                <w:kern w:val="0"/>
                <w:sz w:val="22"/>
                <w:szCs w:val="22"/>
              </w:rPr>
              <w:t>责任时限</w:t>
            </w:r>
          </w:p>
        </w:tc>
      </w:tr>
      <w:tr w:rsidR="007E02B4" w:rsidTr="007E02B4">
        <w:trPr>
          <w:trHeight w:val="2175"/>
        </w:trPr>
        <w:tc>
          <w:tcPr>
            <w:tcW w:w="803"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宋体" w:hAnsi="宋体" w:hint="eastAsia"/>
                <w:kern w:val="0"/>
                <w:sz w:val="24"/>
                <w:szCs w:val="24"/>
              </w:rPr>
              <w:t>1</w:t>
            </w:r>
          </w:p>
        </w:tc>
        <w:tc>
          <w:tcPr>
            <w:tcW w:w="2071"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加强煤炭经营单位日常监督</w:t>
            </w:r>
          </w:p>
        </w:tc>
        <w:tc>
          <w:tcPr>
            <w:tcW w:w="4740"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重点检查经营资格、煤质状况、场地管理及运煤车辆管理等。及时对无证经营煤炭单位进行取缔；主动与乡镇配合，与国土、环保等部门对土地违法、不符合环保要求的煤炭经营单位进行取缔，对已经取缔的煤炭经营单位及时注销营业执照；指导洁净煤配送中心加强煤质管理，建立相关制度，确保煤炭质量符合环保要求。</w:t>
            </w:r>
          </w:p>
        </w:tc>
        <w:tc>
          <w:tcPr>
            <w:tcW w:w="2024"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仿宋_GB2312" w:hAnsi="Times New Roman"/>
                <w:kern w:val="0"/>
                <w:sz w:val="24"/>
                <w:szCs w:val="24"/>
              </w:rPr>
            </w:pPr>
            <w:r>
              <w:rPr>
                <w:rFonts w:ascii="仿宋_GB2312" w:hAnsi="Times New Roman"/>
                <w:kern w:val="0"/>
                <w:sz w:val="24"/>
                <w:szCs w:val="24"/>
              </w:rPr>
              <w:t>各所</w:t>
            </w:r>
          </w:p>
          <w:p w:rsidR="007E02B4" w:rsidRDefault="007E02B4">
            <w:pPr>
              <w:widowControl/>
              <w:autoSpaceDE w:val="0"/>
              <w:spacing w:line="240" w:lineRule="exact"/>
              <w:jc w:val="center"/>
              <w:rPr>
                <w:rFonts w:ascii="仿宋_GB2312" w:hAnsi="Times New Roman"/>
                <w:kern w:val="0"/>
                <w:sz w:val="24"/>
                <w:szCs w:val="24"/>
              </w:rPr>
            </w:pPr>
            <w:r>
              <w:rPr>
                <w:rFonts w:ascii="仿宋_GB2312" w:hAnsi="Times New Roman"/>
                <w:kern w:val="0"/>
                <w:sz w:val="24"/>
                <w:szCs w:val="24"/>
              </w:rPr>
              <w:t>市管岗</w:t>
            </w:r>
          </w:p>
        </w:tc>
        <w:tc>
          <w:tcPr>
            <w:tcW w:w="1509"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各所、市管岗负责人</w:t>
            </w:r>
          </w:p>
        </w:tc>
        <w:tc>
          <w:tcPr>
            <w:tcW w:w="1559"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分管领导</w:t>
            </w:r>
          </w:p>
        </w:tc>
        <w:tc>
          <w:tcPr>
            <w:tcW w:w="1934"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工作截止于</w:t>
            </w:r>
            <w:r>
              <w:rPr>
                <w:rFonts w:ascii="仿宋_GB2312" w:hAnsi="Times New Roman"/>
                <w:kern w:val="0"/>
                <w:sz w:val="24"/>
                <w:szCs w:val="24"/>
              </w:rPr>
              <w:t>2019</w:t>
            </w:r>
            <w:r>
              <w:rPr>
                <w:rFonts w:ascii="仿宋_GB2312" w:hAnsi="Times New Roman"/>
                <w:kern w:val="0"/>
                <w:sz w:val="24"/>
                <w:szCs w:val="24"/>
              </w:rPr>
              <w:t>年年底</w:t>
            </w:r>
          </w:p>
        </w:tc>
      </w:tr>
      <w:tr w:rsidR="007E02B4" w:rsidTr="007E02B4">
        <w:trPr>
          <w:trHeight w:val="1695"/>
        </w:trPr>
        <w:tc>
          <w:tcPr>
            <w:tcW w:w="803"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2</w:t>
            </w:r>
          </w:p>
        </w:tc>
        <w:tc>
          <w:tcPr>
            <w:tcW w:w="2071"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严管严控</w:t>
            </w:r>
            <w:r>
              <w:rPr>
                <w:rFonts w:ascii="仿宋_GB2312" w:hAnsi="Times New Roman"/>
                <w:kern w:val="0"/>
                <w:sz w:val="24"/>
                <w:szCs w:val="24"/>
              </w:rPr>
              <w:br/>
            </w:r>
            <w:r>
              <w:rPr>
                <w:rFonts w:ascii="仿宋_GB2312" w:hAnsi="Times New Roman"/>
                <w:kern w:val="0"/>
                <w:sz w:val="24"/>
                <w:szCs w:val="24"/>
              </w:rPr>
              <w:t>燃煤污染</w:t>
            </w:r>
          </w:p>
        </w:tc>
        <w:tc>
          <w:tcPr>
            <w:tcW w:w="4740"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制定《煤炭质量检查专项行动方案》和《</w:t>
            </w:r>
            <w:r>
              <w:rPr>
                <w:rFonts w:ascii="仿宋_GB2312" w:hAnsi="Times New Roman"/>
                <w:kern w:val="0"/>
                <w:sz w:val="24"/>
                <w:szCs w:val="24"/>
              </w:rPr>
              <w:t>2019</w:t>
            </w:r>
            <w:r>
              <w:rPr>
                <w:rFonts w:ascii="仿宋_GB2312" w:hAnsi="Times New Roman"/>
                <w:kern w:val="0"/>
                <w:sz w:val="24"/>
                <w:szCs w:val="24"/>
              </w:rPr>
              <w:t>年煤质抽检计划》；</w:t>
            </w:r>
            <w:r>
              <w:rPr>
                <w:rFonts w:ascii="仿宋_GB2312" w:hAnsi="Times New Roman"/>
                <w:kern w:val="0"/>
                <w:sz w:val="24"/>
                <w:szCs w:val="24"/>
              </w:rPr>
              <w:t>8</w:t>
            </w:r>
            <w:r>
              <w:rPr>
                <w:rFonts w:ascii="仿宋_GB2312" w:hAnsi="Times New Roman"/>
                <w:kern w:val="0"/>
                <w:sz w:val="24"/>
                <w:szCs w:val="24"/>
              </w:rPr>
              <w:t>月底前组织开展一次打击非法售煤网点和用煤单位炉前煤质专项执法行动；按照煤质抽检计划，及时对煤炭经营单位进行抽检，对不合格煤炭及时进行查处。</w:t>
            </w:r>
          </w:p>
        </w:tc>
        <w:tc>
          <w:tcPr>
            <w:tcW w:w="2024"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稽查大队</w:t>
            </w:r>
            <w:r>
              <w:rPr>
                <w:rFonts w:ascii="仿宋_GB2312" w:hAnsi="Times New Roman"/>
                <w:kern w:val="0"/>
                <w:sz w:val="24"/>
                <w:szCs w:val="24"/>
              </w:rPr>
              <w:br/>
            </w:r>
            <w:r>
              <w:rPr>
                <w:rFonts w:ascii="仿宋_GB2312" w:hAnsi="Times New Roman"/>
                <w:kern w:val="0"/>
                <w:sz w:val="24"/>
                <w:szCs w:val="24"/>
              </w:rPr>
              <w:t>市管岗</w:t>
            </w:r>
          </w:p>
        </w:tc>
        <w:tc>
          <w:tcPr>
            <w:tcW w:w="1509"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稽查大队、</w:t>
            </w:r>
            <w:r>
              <w:rPr>
                <w:rFonts w:ascii="仿宋_GB2312" w:hAnsi="Times New Roman"/>
                <w:kern w:val="0"/>
                <w:sz w:val="24"/>
                <w:szCs w:val="24"/>
              </w:rPr>
              <w:t xml:space="preserve"> </w:t>
            </w:r>
            <w:r>
              <w:rPr>
                <w:rFonts w:ascii="仿宋_GB2312" w:hAnsi="Times New Roman"/>
                <w:kern w:val="0"/>
                <w:sz w:val="24"/>
                <w:szCs w:val="24"/>
              </w:rPr>
              <w:t>市管岗负责人</w:t>
            </w:r>
          </w:p>
        </w:tc>
        <w:tc>
          <w:tcPr>
            <w:tcW w:w="1559"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分管领导</w:t>
            </w:r>
          </w:p>
        </w:tc>
        <w:tc>
          <w:tcPr>
            <w:tcW w:w="1934"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工作截止于</w:t>
            </w:r>
            <w:r>
              <w:rPr>
                <w:rFonts w:ascii="仿宋_GB2312" w:hAnsi="Times New Roman"/>
                <w:kern w:val="0"/>
                <w:sz w:val="24"/>
                <w:szCs w:val="24"/>
              </w:rPr>
              <w:t>2019</w:t>
            </w:r>
            <w:r>
              <w:rPr>
                <w:rFonts w:ascii="仿宋_GB2312" w:hAnsi="Times New Roman"/>
                <w:kern w:val="0"/>
                <w:sz w:val="24"/>
                <w:szCs w:val="24"/>
              </w:rPr>
              <w:t>年年底</w:t>
            </w:r>
          </w:p>
        </w:tc>
      </w:tr>
      <w:tr w:rsidR="007E02B4" w:rsidTr="007E02B4">
        <w:trPr>
          <w:trHeight w:val="1414"/>
        </w:trPr>
        <w:tc>
          <w:tcPr>
            <w:tcW w:w="803"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3</w:t>
            </w:r>
          </w:p>
        </w:tc>
        <w:tc>
          <w:tcPr>
            <w:tcW w:w="2071"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加强餐饮油烟和露天烧烤整治</w:t>
            </w:r>
          </w:p>
        </w:tc>
        <w:tc>
          <w:tcPr>
            <w:tcW w:w="4740"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重点加强对熏、炸、烤制类餐饮场所及露天摊点日常监管，坚决查处店外设置炉灶行为；全面完成餐饮单位煤改气煤改电工作。</w:t>
            </w:r>
          </w:p>
        </w:tc>
        <w:tc>
          <w:tcPr>
            <w:tcW w:w="2024"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仿宋_GB2312" w:hAnsi="Times New Roman"/>
                <w:kern w:val="0"/>
                <w:sz w:val="24"/>
                <w:szCs w:val="24"/>
              </w:rPr>
            </w:pPr>
            <w:r>
              <w:rPr>
                <w:rFonts w:ascii="仿宋_GB2312" w:hAnsi="Times New Roman"/>
                <w:kern w:val="0"/>
                <w:sz w:val="24"/>
                <w:szCs w:val="24"/>
              </w:rPr>
              <w:t>各所</w:t>
            </w:r>
          </w:p>
          <w:p w:rsidR="007E02B4" w:rsidRDefault="007E02B4">
            <w:pPr>
              <w:widowControl/>
              <w:autoSpaceDE w:val="0"/>
              <w:spacing w:line="240" w:lineRule="exact"/>
              <w:jc w:val="center"/>
              <w:rPr>
                <w:rFonts w:ascii="仿宋_GB2312" w:hAnsi="Times New Roman"/>
                <w:kern w:val="0"/>
                <w:sz w:val="24"/>
                <w:szCs w:val="24"/>
              </w:rPr>
            </w:pPr>
            <w:r>
              <w:rPr>
                <w:rFonts w:ascii="仿宋_GB2312" w:hAnsi="Times New Roman"/>
                <w:kern w:val="0"/>
                <w:sz w:val="24"/>
                <w:szCs w:val="24"/>
              </w:rPr>
              <w:t>食品岗</w:t>
            </w:r>
          </w:p>
        </w:tc>
        <w:tc>
          <w:tcPr>
            <w:tcW w:w="1509"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各所及食品岗负责人</w:t>
            </w:r>
          </w:p>
        </w:tc>
        <w:tc>
          <w:tcPr>
            <w:tcW w:w="1559"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分管领导</w:t>
            </w:r>
          </w:p>
        </w:tc>
        <w:tc>
          <w:tcPr>
            <w:tcW w:w="1934"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工作截止于</w:t>
            </w:r>
            <w:r>
              <w:rPr>
                <w:rFonts w:ascii="仿宋_GB2312" w:hAnsi="Times New Roman"/>
                <w:kern w:val="0"/>
                <w:sz w:val="24"/>
                <w:szCs w:val="24"/>
              </w:rPr>
              <w:t>2019</w:t>
            </w:r>
            <w:r>
              <w:rPr>
                <w:rFonts w:ascii="仿宋_GB2312" w:hAnsi="Times New Roman"/>
                <w:kern w:val="0"/>
                <w:sz w:val="24"/>
                <w:szCs w:val="24"/>
              </w:rPr>
              <w:t>年年底</w:t>
            </w:r>
          </w:p>
        </w:tc>
      </w:tr>
      <w:tr w:rsidR="007E02B4" w:rsidTr="007E02B4">
        <w:trPr>
          <w:trHeight w:val="1710"/>
        </w:trPr>
        <w:tc>
          <w:tcPr>
            <w:tcW w:w="803"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lastRenderedPageBreak/>
              <w:t>4</w:t>
            </w:r>
          </w:p>
        </w:tc>
        <w:tc>
          <w:tcPr>
            <w:tcW w:w="2071"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加强烟花爆</w:t>
            </w:r>
            <w:r>
              <w:rPr>
                <w:rFonts w:ascii="仿宋_GB2312" w:hAnsi="Times New Roman"/>
                <w:kern w:val="0"/>
                <w:sz w:val="24"/>
                <w:szCs w:val="24"/>
              </w:rPr>
              <w:br/>
            </w:r>
            <w:r>
              <w:rPr>
                <w:rFonts w:ascii="仿宋_GB2312" w:hAnsi="Times New Roman"/>
                <w:kern w:val="0"/>
                <w:sz w:val="24"/>
                <w:szCs w:val="24"/>
              </w:rPr>
              <w:t>竹市场监管</w:t>
            </w:r>
          </w:p>
        </w:tc>
        <w:tc>
          <w:tcPr>
            <w:tcW w:w="4740"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各所要积极配合安监部门对非许可烟花爆竹专营店进行查封，对私自在市区销售烟花爆竹的临时摊点、丧葬用品店等要及时予以查处；对乡下的烟花爆竹销售点进行全面检查，促使烟花爆竹销售逐步缩减。</w:t>
            </w:r>
          </w:p>
        </w:tc>
        <w:tc>
          <w:tcPr>
            <w:tcW w:w="2024"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各所</w:t>
            </w:r>
            <w:r>
              <w:rPr>
                <w:rFonts w:ascii="仿宋_GB2312" w:hAnsi="Times New Roman"/>
                <w:kern w:val="0"/>
                <w:sz w:val="24"/>
                <w:szCs w:val="24"/>
              </w:rPr>
              <w:br/>
            </w:r>
            <w:r>
              <w:rPr>
                <w:rFonts w:ascii="仿宋_GB2312" w:hAnsi="Times New Roman"/>
                <w:kern w:val="0"/>
                <w:sz w:val="24"/>
                <w:szCs w:val="24"/>
              </w:rPr>
              <w:t>特设岗科</w:t>
            </w:r>
          </w:p>
        </w:tc>
        <w:tc>
          <w:tcPr>
            <w:tcW w:w="1509"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各所及特设岗负责人</w:t>
            </w:r>
          </w:p>
        </w:tc>
        <w:tc>
          <w:tcPr>
            <w:tcW w:w="1559"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分管领导</w:t>
            </w:r>
          </w:p>
        </w:tc>
        <w:tc>
          <w:tcPr>
            <w:tcW w:w="1934"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工作截止于</w:t>
            </w:r>
            <w:r>
              <w:rPr>
                <w:rFonts w:ascii="仿宋_GB2312" w:hAnsi="Times New Roman"/>
                <w:kern w:val="0"/>
                <w:sz w:val="24"/>
                <w:szCs w:val="24"/>
              </w:rPr>
              <w:t>2019</w:t>
            </w:r>
            <w:r>
              <w:rPr>
                <w:rFonts w:ascii="仿宋_GB2312" w:hAnsi="Times New Roman"/>
                <w:kern w:val="0"/>
                <w:sz w:val="24"/>
                <w:szCs w:val="24"/>
              </w:rPr>
              <w:t>年年底</w:t>
            </w:r>
          </w:p>
        </w:tc>
      </w:tr>
      <w:tr w:rsidR="007E02B4" w:rsidTr="007E02B4">
        <w:trPr>
          <w:trHeight w:val="1560"/>
        </w:trPr>
        <w:tc>
          <w:tcPr>
            <w:tcW w:w="803"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5</w:t>
            </w:r>
          </w:p>
        </w:tc>
        <w:tc>
          <w:tcPr>
            <w:tcW w:w="2071"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加强油品</w:t>
            </w:r>
            <w:r>
              <w:rPr>
                <w:rFonts w:ascii="仿宋_GB2312" w:hAnsi="Times New Roman"/>
                <w:kern w:val="0"/>
                <w:sz w:val="24"/>
                <w:szCs w:val="24"/>
              </w:rPr>
              <w:br/>
            </w:r>
            <w:r>
              <w:rPr>
                <w:rFonts w:ascii="仿宋_GB2312" w:hAnsi="Times New Roman"/>
                <w:kern w:val="0"/>
                <w:sz w:val="24"/>
                <w:szCs w:val="24"/>
              </w:rPr>
              <w:t>质量监管</w:t>
            </w:r>
          </w:p>
        </w:tc>
        <w:tc>
          <w:tcPr>
            <w:tcW w:w="4740"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及时制定油品抽检计划，按计划对油品进行抽检；加强油品质量联合执法检查，严厉打击非法生产、销售不符合国家标准的车用燃油行为，保证全面供应符合国家汽柴油</w:t>
            </w:r>
            <w:r>
              <w:rPr>
                <w:rFonts w:ascii="仿宋_GB2312" w:hAnsi="Times New Roman"/>
                <w:kern w:val="0"/>
                <w:sz w:val="24"/>
                <w:szCs w:val="24"/>
              </w:rPr>
              <w:t>VI</w:t>
            </w:r>
            <w:r>
              <w:rPr>
                <w:rFonts w:ascii="仿宋_GB2312" w:hAnsi="Times New Roman"/>
                <w:kern w:val="0"/>
                <w:sz w:val="24"/>
                <w:szCs w:val="24"/>
              </w:rPr>
              <w:t>标准。</w:t>
            </w:r>
          </w:p>
        </w:tc>
        <w:tc>
          <w:tcPr>
            <w:tcW w:w="2024"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稽查大队</w:t>
            </w:r>
          </w:p>
        </w:tc>
        <w:tc>
          <w:tcPr>
            <w:tcW w:w="1509"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稽查大队负</w:t>
            </w:r>
            <w:r>
              <w:rPr>
                <w:rFonts w:ascii="仿宋_GB2312" w:hAnsi="Times New Roman"/>
                <w:kern w:val="0"/>
                <w:sz w:val="24"/>
                <w:szCs w:val="24"/>
              </w:rPr>
              <w:br/>
            </w:r>
            <w:r>
              <w:rPr>
                <w:rFonts w:ascii="仿宋_GB2312" w:hAnsi="Times New Roman"/>
                <w:kern w:val="0"/>
                <w:sz w:val="24"/>
                <w:szCs w:val="24"/>
              </w:rPr>
              <w:t>责人</w:t>
            </w:r>
          </w:p>
        </w:tc>
        <w:tc>
          <w:tcPr>
            <w:tcW w:w="1559"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分管领导</w:t>
            </w:r>
          </w:p>
        </w:tc>
        <w:tc>
          <w:tcPr>
            <w:tcW w:w="1934"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工作截止于</w:t>
            </w:r>
            <w:r>
              <w:rPr>
                <w:rFonts w:ascii="仿宋_GB2312" w:hAnsi="Times New Roman"/>
                <w:kern w:val="0"/>
                <w:sz w:val="24"/>
                <w:szCs w:val="24"/>
              </w:rPr>
              <w:t>2019</w:t>
            </w:r>
            <w:r>
              <w:rPr>
                <w:rFonts w:ascii="仿宋_GB2312" w:hAnsi="Times New Roman"/>
                <w:kern w:val="0"/>
                <w:sz w:val="24"/>
                <w:szCs w:val="24"/>
              </w:rPr>
              <w:t>年年底</w:t>
            </w:r>
          </w:p>
        </w:tc>
      </w:tr>
      <w:tr w:rsidR="007E02B4" w:rsidTr="007E02B4">
        <w:trPr>
          <w:trHeight w:val="1137"/>
        </w:trPr>
        <w:tc>
          <w:tcPr>
            <w:tcW w:w="803"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6</w:t>
            </w:r>
          </w:p>
        </w:tc>
        <w:tc>
          <w:tcPr>
            <w:tcW w:w="2071"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加强燃煤锅炉</w:t>
            </w:r>
            <w:r>
              <w:rPr>
                <w:rFonts w:ascii="仿宋_GB2312" w:hAnsi="Times New Roman"/>
                <w:kern w:val="0"/>
                <w:sz w:val="24"/>
                <w:szCs w:val="24"/>
              </w:rPr>
              <w:br/>
            </w:r>
            <w:r>
              <w:rPr>
                <w:rFonts w:ascii="仿宋_GB2312" w:hAnsi="Times New Roman"/>
                <w:kern w:val="0"/>
                <w:sz w:val="24"/>
                <w:szCs w:val="24"/>
              </w:rPr>
              <w:t>淘汰工作</w:t>
            </w:r>
          </w:p>
        </w:tc>
        <w:tc>
          <w:tcPr>
            <w:tcW w:w="4740"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及时对淘汰燃煤锅炉进行注销。</w:t>
            </w:r>
          </w:p>
        </w:tc>
        <w:tc>
          <w:tcPr>
            <w:tcW w:w="2024"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特设岗</w:t>
            </w:r>
          </w:p>
        </w:tc>
        <w:tc>
          <w:tcPr>
            <w:tcW w:w="1509"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特设岗负</w:t>
            </w:r>
            <w:r>
              <w:rPr>
                <w:rFonts w:ascii="仿宋_GB2312" w:hAnsi="Times New Roman"/>
                <w:kern w:val="0"/>
                <w:sz w:val="24"/>
                <w:szCs w:val="24"/>
              </w:rPr>
              <w:br/>
            </w:r>
            <w:r>
              <w:rPr>
                <w:rFonts w:ascii="仿宋_GB2312" w:hAnsi="Times New Roman"/>
                <w:kern w:val="0"/>
                <w:sz w:val="24"/>
                <w:szCs w:val="24"/>
              </w:rPr>
              <w:t>责人</w:t>
            </w:r>
          </w:p>
        </w:tc>
        <w:tc>
          <w:tcPr>
            <w:tcW w:w="1559"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分管领导</w:t>
            </w:r>
          </w:p>
        </w:tc>
        <w:tc>
          <w:tcPr>
            <w:tcW w:w="1934"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工作截止于</w:t>
            </w:r>
            <w:r>
              <w:rPr>
                <w:rFonts w:ascii="仿宋_GB2312" w:hAnsi="Times New Roman"/>
                <w:kern w:val="0"/>
                <w:sz w:val="24"/>
                <w:szCs w:val="24"/>
              </w:rPr>
              <w:t>2019</w:t>
            </w:r>
            <w:r>
              <w:rPr>
                <w:rFonts w:ascii="仿宋_GB2312" w:hAnsi="Times New Roman"/>
                <w:kern w:val="0"/>
                <w:sz w:val="24"/>
                <w:szCs w:val="24"/>
              </w:rPr>
              <w:t>年年底</w:t>
            </w:r>
          </w:p>
        </w:tc>
      </w:tr>
      <w:tr w:rsidR="007E02B4" w:rsidTr="007E02B4">
        <w:trPr>
          <w:trHeight w:val="1474"/>
        </w:trPr>
        <w:tc>
          <w:tcPr>
            <w:tcW w:w="803"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7</w:t>
            </w:r>
          </w:p>
        </w:tc>
        <w:tc>
          <w:tcPr>
            <w:tcW w:w="2071"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强化机动车环保检测机构监管</w:t>
            </w:r>
          </w:p>
        </w:tc>
        <w:tc>
          <w:tcPr>
            <w:tcW w:w="4740"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开展年度环保检验机构检测设备计量检定情况监督检查，对违规行为进行处罚。开展机动车环保检验机构年度督查考核，对考核不合格的检验机构暂停或取消检测资格。</w:t>
            </w:r>
          </w:p>
        </w:tc>
        <w:tc>
          <w:tcPr>
            <w:tcW w:w="2024"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特设岗</w:t>
            </w:r>
          </w:p>
        </w:tc>
        <w:tc>
          <w:tcPr>
            <w:tcW w:w="1509" w:type="dxa"/>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特设岗负</w:t>
            </w:r>
            <w:r>
              <w:rPr>
                <w:rFonts w:ascii="仿宋_GB2312" w:hAnsi="Times New Roman"/>
                <w:kern w:val="0"/>
                <w:sz w:val="24"/>
                <w:szCs w:val="24"/>
              </w:rPr>
              <w:br/>
            </w:r>
            <w:r>
              <w:rPr>
                <w:rFonts w:ascii="仿宋_GB2312" w:hAnsi="Times New Roman"/>
                <w:kern w:val="0"/>
                <w:sz w:val="24"/>
                <w:szCs w:val="24"/>
              </w:rPr>
              <w:t>责人</w:t>
            </w:r>
          </w:p>
        </w:tc>
        <w:tc>
          <w:tcPr>
            <w:tcW w:w="1559" w:type="dxa"/>
            <w:noWrap/>
            <w:tcMar>
              <w:top w:w="0" w:type="dxa"/>
              <w:left w:w="108" w:type="dxa"/>
              <w:bottom w:w="0" w:type="dxa"/>
              <w:right w:w="108" w:type="dxa"/>
            </w:tcMar>
            <w:vAlign w:val="center"/>
            <w:hideMark/>
          </w:tcPr>
          <w:p w:rsidR="007E02B4" w:rsidRDefault="007E02B4">
            <w:pPr>
              <w:widowControl/>
              <w:autoSpaceDE w:val="0"/>
              <w:spacing w:line="240" w:lineRule="exact"/>
              <w:jc w:val="center"/>
              <w:rPr>
                <w:rFonts w:ascii="Times New Roman" w:hAnsi="Times New Roman"/>
                <w:sz w:val="20"/>
                <w:szCs w:val="20"/>
              </w:rPr>
            </w:pPr>
            <w:r>
              <w:rPr>
                <w:rFonts w:ascii="仿宋_GB2312" w:hAnsi="Times New Roman"/>
                <w:kern w:val="0"/>
                <w:sz w:val="24"/>
                <w:szCs w:val="24"/>
              </w:rPr>
              <w:t>分管领导</w:t>
            </w:r>
          </w:p>
        </w:tc>
        <w:tc>
          <w:tcPr>
            <w:tcW w:w="1934" w:type="dxa"/>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工作截止于</w:t>
            </w:r>
            <w:r>
              <w:rPr>
                <w:rFonts w:ascii="仿宋_GB2312" w:hAnsi="Times New Roman"/>
                <w:kern w:val="0"/>
                <w:sz w:val="24"/>
                <w:szCs w:val="24"/>
              </w:rPr>
              <w:t>2019</w:t>
            </w:r>
            <w:r>
              <w:rPr>
                <w:rFonts w:ascii="仿宋_GB2312" w:hAnsi="Times New Roman"/>
                <w:kern w:val="0"/>
                <w:sz w:val="24"/>
                <w:szCs w:val="24"/>
              </w:rPr>
              <w:t>年年底</w:t>
            </w:r>
          </w:p>
        </w:tc>
      </w:tr>
      <w:tr w:rsidR="007E02B4" w:rsidTr="007E02B4">
        <w:trPr>
          <w:trHeight w:val="750"/>
        </w:trPr>
        <w:tc>
          <w:tcPr>
            <w:tcW w:w="14640" w:type="dxa"/>
            <w:gridSpan w:val="7"/>
            <w:noWrap/>
            <w:tcMar>
              <w:top w:w="0" w:type="dxa"/>
              <w:left w:w="108" w:type="dxa"/>
              <w:bottom w:w="0" w:type="dxa"/>
              <w:right w:w="108" w:type="dxa"/>
            </w:tcMar>
            <w:vAlign w:val="center"/>
            <w:hideMark/>
          </w:tcPr>
          <w:p w:rsidR="007E02B4" w:rsidRDefault="007E02B4">
            <w:pPr>
              <w:widowControl/>
              <w:autoSpaceDE w:val="0"/>
              <w:spacing w:line="240" w:lineRule="exact"/>
              <w:jc w:val="left"/>
              <w:rPr>
                <w:rFonts w:ascii="Times New Roman" w:hAnsi="Times New Roman"/>
                <w:sz w:val="20"/>
                <w:szCs w:val="20"/>
              </w:rPr>
            </w:pPr>
            <w:r>
              <w:rPr>
                <w:rFonts w:ascii="仿宋_GB2312" w:hAnsi="Times New Roman"/>
                <w:kern w:val="0"/>
                <w:sz w:val="24"/>
                <w:szCs w:val="24"/>
              </w:rPr>
              <w:t xml:space="preserve">    </w:t>
            </w:r>
            <w:r>
              <w:rPr>
                <w:rFonts w:ascii="仿宋_GB2312" w:hAnsi="仿宋_GB2312"/>
                <w:kern w:val="0"/>
                <w:sz w:val="24"/>
                <w:szCs w:val="24"/>
              </w:rPr>
              <w:t>备注：各</w:t>
            </w:r>
            <w:r>
              <w:rPr>
                <w:rFonts w:ascii="仿宋_GB2312" w:hAnsi="Times New Roman"/>
                <w:kern w:val="0"/>
                <w:sz w:val="24"/>
                <w:szCs w:val="24"/>
              </w:rPr>
              <w:t>所、各相关科室要于</w:t>
            </w:r>
            <w:r>
              <w:rPr>
                <w:rFonts w:ascii="仿宋_GB2312" w:hAnsi="Times New Roman"/>
                <w:kern w:val="0"/>
                <w:sz w:val="24"/>
                <w:szCs w:val="24"/>
              </w:rPr>
              <w:t>6</w:t>
            </w:r>
            <w:r>
              <w:rPr>
                <w:rFonts w:ascii="仿宋_GB2312" w:hAnsi="Times New Roman"/>
                <w:kern w:val="0"/>
                <w:sz w:val="24"/>
                <w:szCs w:val="24"/>
              </w:rPr>
              <w:t>月底前和</w:t>
            </w:r>
            <w:r>
              <w:rPr>
                <w:rFonts w:ascii="仿宋_GB2312" w:hAnsi="Times New Roman"/>
                <w:kern w:val="0"/>
                <w:sz w:val="24"/>
                <w:szCs w:val="24"/>
              </w:rPr>
              <w:t>11</w:t>
            </w:r>
            <w:r>
              <w:rPr>
                <w:rFonts w:ascii="仿宋_GB2312" w:hAnsi="Times New Roman"/>
                <w:kern w:val="0"/>
                <w:sz w:val="24"/>
                <w:szCs w:val="24"/>
              </w:rPr>
              <w:t>月底前分别向市管岗报送工作小结和工作总结。</w:t>
            </w:r>
          </w:p>
        </w:tc>
      </w:tr>
    </w:tbl>
    <w:p w:rsidR="00FE7092" w:rsidRPr="007E02B4" w:rsidRDefault="00FE7092" w:rsidP="007E02B4">
      <w:pPr>
        <w:widowControl/>
        <w:autoSpaceDE w:val="0"/>
        <w:spacing w:line="240" w:lineRule="exact"/>
        <w:jc w:val="left"/>
      </w:pPr>
    </w:p>
    <w:sectPr w:rsidR="00FE7092" w:rsidRPr="007E02B4" w:rsidSect="007E02B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02B4"/>
    <w:rsid w:val="000034F2"/>
    <w:rsid w:val="007E02B4"/>
    <w:rsid w:val="00FE70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B4"/>
    <w:pPr>
      <w:widowControl w:val="0"/>
      <w:spacing w:line="240" w:lineRule="auto"/>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4909990">
      <w:bodyDiv w:val="1"/>
      <w:marLeft w:val="0"/>
      <w:marRight w:val="0"/>
      <w:marTop w:val="0"/>
      <w:marBottom w:val="0"/>
      <w:divBdr>
        <w:top w:val="none" w:sz="0" w:space="0" w:color="auto"/>
        <w:left w:val="none" w:sz="0" w:space="0" w:color="auto"/>
        <w:bottom w:val="none" w:sz="0" w:space="0" w:color="auto"/>
        <w:right w:val="none" w:sz="0" w:space="0" w:color="auto"/>
      </w:divBdr>
    </w:div>
    <w:div w:id="18465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2019-06-21T02:47:00Z</dcterms:created>
  <dcterms:modified xsi:type="dcterms:W3CDTF">2019-06-21T02:50:00Z</dcterms:modified>
</cp:coreProperties>
</file>