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00" w:lineRule="exact"/>
        <w:ind w:firstLine="0" w:firstLineChars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绩效</w:t>
      </w:r>
      <w:r>
        <w:rPr>
          <w:b/>
          <w:sz w:val="32"/>
          <w:szCs w:val="32"/>
        </w:rPr>
        <w:t>目标申报表</w:t>
      </w:r>
    </w:p>
    <w:tbl>
      <w:tblPr>
        <w:tblStyle w:val="2"/>
        <w:tblW w:w="998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12"/>
        <w:gridCol w:w="1508"/>
        <w:gridCol w:w="2243"/>
        <w:gridCol w:w="2050"/>
        <w:gridCol w:w="1047"/>
        <w:gridCol w:w="15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49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海原县</w:t>
            </w:r>
            <w:r>
              <w:rPr>
                <w:rFonts w:hint="eastAsia"/>
                <w:sz w:val="21"/>
                <w:szCs w:val="21"/>
                <w:lang w:eastAsia="zh-CN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农村公益性事业财政奖补甘城</w:t>
            </w:r>
            <w:r>
              <w:rPr>
                <w:rFonts w:hint="eastAsia"/>
                <w:sz w:val="21"/>
                <w:szCs w:val="21"/>
                <w:lang w:eastAsia="zh-CN"/>
              </w:rPr>
              <w:t>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双井</w:t>
            </w:r>
            <w:r>
              <w:rPr>
                <w:rFonts w:hint="eastAsia"/>
                <w:sz w:val="21"/>
                <w:szCs w:val="21"/>
                <w:lang w:eastAsia="zh-CN"/>
              </w:rPr>
              <w:t>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巷道</w:t>
            </w:r>
            <w:r>
              <w:rPr>
                <w:rFonts w:hint="eastAsia"/>
                <w:sz w:val="21"/>
                <w:szCs w:val="21"/>
                <w:lang w:eastAsia="zh-CN"/>
              </w:rPr>
              <w:t>硬化项目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项目负责人</w:t>
            </w:r>
            <w:bookmarkStart w:id="0" w:name="_GoBack"/>
            <w:bookmarkEnd w:id="0"/>
          </w:p>
        </w:tc>
        <w:tc>
          <w:tcPr>
            <w:tcW w:w="2639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卢建宏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49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主管部门</w:t>
            </w: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海原县</w:t>
            </w:r>
            <w:r>
              <w:rPr>
                <w:rFonts w:hint="eastAsia"/>
                <w:sz w:val="21"/>
                <w:szCs w:val="21"/>
                <w:lang w:eastAsia="zh-CN"/>
              </w:rPr>
              <w:t>财政</w:t>
            </w:r>
            <w:r>
              <w:rPr>
                <w:rFonts w:hint="eastAsia"/>
                <w:sz w:val="21"/>
                <w:szCs w:val="21"/>
              </w:rPr>
              <w:t>局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实施单位</w:t>
            </w:r>
          </w:p>
        </w:tc>
        <w:tc>
          <w:tcPr>
            <w:tcW w:w="2639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甘城</w:t>
            </w:r>
            <w:r>
              <w:rPr>
                <w:rFonts w:hint="eastAsia"/>
                <w:sz w:val="21"/>
                <w:szCs w:val="21"/>
                <w:lang w:eastAsia="zh-CN"/>
              </w:rPr>
              <w:t>乡人民政府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49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资金情况</w:t>
            </w:r>
          </w:p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年度资金总额：</w:t>
            </w:r>
          </w:p>
        </w:tc>
        <w:tc>
          <w:tcPr>
            <w:tcW w:w="4689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47.87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49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其中：财政拨款</w:t>
            </w:r>
          </w:p>
        </w:tc>
        <w:tc>
          <w:tcPr>
            <w:tcW w:w="4689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47.87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49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其他资金</w:t>
            </w:r>
          </w:p>
        </w:tc>
        <w:tc>
          <w:tcPr>
            <w:tcW w:w="4689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437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总</w:t>
            </w:r>
          </w:p>
          <w:p>
            <w:pPr>
              <w:pStyle w:val="4"/>
              <w:spacing w:line="320" w:lineRule="exact"/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体</w:t>
            </w:r>
          </w:p>
          <w:p>
            <w:pPr>
              <w:pStyle w:val="4"/>
              <w:spacing w:line="320" w:lineRule="exact"/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目</w:t>
            </w:r>
          </w:p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</w:t>
            </w:r>
          </w:p>
        </w:tc>
        <w:tc>
          <w:tcPr>
            <w:tcW w:w="9552" w:type="dxa"/>
            <w:gridSpan w:val="6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年度目标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9552" w:type="dxa"/>
            <w:gridSpan w:val="6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105" w:firstLineChars="5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目标1：完成乡村混凝土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硬化道</w:t>
            </w:r>
            <w:r>
              <w:rPr>
                <w:rFonts w:hint="eastAsia"/>
                <w:sz w:val="21"/>
                <w:szCs w:val="21"/>
                <w:highlight w:val="none"/>
              </w:rPr>
              <w:t>路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941.7米，硬化面积2621.25平米，安装防护栏150米</w:t>
            </w:r>
            <w:r>
              <w:rPr>
                <w:rFonts w:hint="eastAsia"/>
                <w:sz w:val="21"/>
                <w:szCs w:val="21"/>
                <w:highlight w:val="none"/>
              </w:rPr>
              <w:t>。</w:t>
            </w:r>
          </w:p>
          <w:p>
            <w:pPr>
              <w:pStyle w:val="4"/>
              <w:spacing w:line="320" w:lineRule="exact"/>
              <w:ind w:firstLine="0" w:firstLineChars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目标2：完成总投资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47.87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万元。    </w:t>
            </w:r>
          </w:p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目标3：完成服务沿线人口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218</w:t>
            </w:r>
            <w:r>
              <w:rPr>
                <w:rFonts w:hint="eastAsia"/>
                <w:sz w:val="21"/>
                <w:szCs w:val="21"/>
                <w:highlight w:val="none"/>
              </w:rPr>
              <w:t>户，约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818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人。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绩</w:t>
            </w:r>
          </w:p>
          <w:p>
            <w:pPr>
              <w:pStyle w:val="4"/>
              <w:spacing w:line="320" w:lineRule="exact"/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效</w:t>
            </w:r>
          </w:p>
          <w:p>
            <w:pPr>
              <w:pStyle w:val="4"/>
              <w:spacing w:line="320" w:lineRule="exact"/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指</w:t>
            </w:r>
          </w:p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</w:t>
            </w:r>
          </w:p>
        </w:tc>
        <w:tc>
          <w:tcPr>
            <w:tcW w:w="111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三级指标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产出指标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★★★新建改建公路里程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0.9417</w:t>
            </w:r>
            <w:r>
              <w:rPr>
                <w:rFonts w:hint="eastAsia"/>
                <w:sz w:val="21"/>
                <w:szCs w:val="21"/>
              </w:rPr>
              <w:t>公里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★新增硬化路里程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0.9417</w:t>
            </w:r>
            <w:r>
              <w:rPr>
                <w:rFonts w:hint="eastAsia"/>
                <w:sz w:val="21"/>
                <w:szCs w:val="21"/>
              </w:rPr>
              <w:t>公里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★公路危桥处置数量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★★★项目（工程）验收合格率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平原区生产道路通达度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丘陵区生产道路通达度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≥80%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时效指标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项目（工程）完成及时率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≥75%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……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成本指标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★道路补助标准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50.83</w:t>
            </w:r>
            <w:r>
              <w:rPr>
                <w:rFonts w:hint="eastAsia"/>
                <w:sz w:val="21"/>
                <w:szCs w:val="21"/>
              </w:rPr>
              <w:t>万元/公里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效益指标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经济效益</w:t>
            </w:r>
          </w:p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生产条件改善带动农业亩均产量增加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≥**斤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新增粮食和其他作物产能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≥**万公斤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★★★贫困地区以工代赈项目增加劳动者收入（总收入）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≥150万元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★★★其中:贫困地区以工代赈项目增加建档立卡贫困人口收入（总收入）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≥50万元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社会效益</w:t>
            </w:r>
          </w:p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贫困地区建制村通客车率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≥100%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具备条件的建档立卡贫困村通硬化路率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≥100%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贫困地区居民出行平均缩短时间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≥1.5小时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★★★受益建档立卡贫困人口数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≥100人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带动建档立卡贫困人口脱贫数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≥75人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生态效益</w:t>
            </w:r>
          </w:p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水土保持率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比上年提高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水资源利用率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比上年提高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可持续影响</w:t>
            </w:r>
          </w:p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工程设计使用年限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≥10年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新建公路列养率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≥100%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有稳定增收产业（或创业致富带头人）的村比率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≥**%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……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满意度指标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服务对象</w:t>
            </w:r>
          </w:p>
          <w:p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满意度指标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受益贫困人口满意度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≥95%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★边境地区村民满意度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≥95%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……</w:t>
            </w:r>
          </w:p>
        </w:tc>
        <w:tc>
          <w:tcPr>
            <w:tcW w:w="1592" w:type="dxa"/>
            <w:shd w:val="clear" w:color="auto" w:fill="FFFFFF"/>
            <w:vAlign w:val="center"/>
          </w:tcPr>
          <w:p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DQ0OTNiN2UxODdkYmU5MWNiNDJjYTgzNWJhOTcifQ=="/>
  </w:docVars>
  <w:rsids>
    <w:rsidRoot w:val="00000000"/>
    <w:rsid w:val="183D4AA1"/>
    <w:rsid w:val="34E837DE"/>
    <w:rsid w:val="361A5C1B"/>
    <w:rsid w:val="643468C2"/>
    <w:rsid w:val="78976CBE"/>
    <w:rsid w:val="7B536716"/>
    <w:rsid w:val="7FEF4633"/>
    <w:rsid w:val="97FBE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1"/>
    <w:basedOn w:val="1"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713</Characters>
  <Lines>0</Lines>
  <Paragraphs>0</Paragraphs>
  <TotalTime>7</TotalTime>
  <ScaleCrop>false</ScaleCrop>
  <LinksUpToDate>false</LinksUpToDate>
  <CharactersWithSpaces>1660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cp:lastPrinted>2023-07-05T17:35:00Z</cp:lastPrinted>
  <dcterms:modified xsi:type="dcterms:W3CDTF">2024-06-24T18:41:32Z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1ED36C516B5248E6BC999898FAB0E8C6_12</vt:lpwstr>
  </property>
</Properties>
</file>