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小标宋_GBK" w:cs="方正小标宋_GBK"/>
          <w:bCs/>
          <w:color w:val="000000"/>
          <w:kern w:val="2"/>
          <w:sz w:val="44"/>
          <w:szCs w:val="44"/>
          <w:lang w:val="en-US" w:eastAsia="zh-CN" w:bidi="zh-TW"/>
        </w:rPr>
      </w:pPr>
      <w:r>
        <w:rPr>
          <w:rFonts w:hint="eastAsia" w:ascii="Times New Roman" w:hAnsi="Times New Roman" w:eastAsia="方正小标宋_GBK" w:cs="方正小标宋_GBK"/>
          <w:bCs/>
          <w:color w:val="000000"/>
          <w:kern w:val="2"/>
          <w:sz w:val="44"/>
          <w:szCs w:val="44"/>
          <w:lang w:val="en-US" w:eastAsia="zh-CN" w:bidi="zh-TW"/>
        </w:rPr>
        <w:t>海原县2023年农业生产救灾资金项目</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小标宋_GBK" w:cs="方正小标宋_GBK"/>
          <w:bCs/>
          <w:color w:val="000000"/>
          <w:kern w:val="2"/>
          <w:sz w:val="44"/>
          <w:szCs w:val="44"/>
          <w:lang w:val="en-US" w:eastAsia="zh-CN" w:bidi="zh-TW"/>
        </w:rPr>
      </w:pPr>
      <w:r>
        <w:rPr>
          <w:rFonts w:hint="eastAsia" w:ascii="Times New Roman" w:hAnsi="Times New Roman" w:eastAsia="方正小标宋_GBK" w:cs="方正小标宋_GBK"/>
          <w:bCs/>
          <w:color w:val="000000"/>
          <w:kern w:val="2"/>
          <w:sz w:val="44"/>
          <w:szCs w:val="44"/>
          <w:lang w:val="en-US" w:eastAsia="zh-CN" w:bidi="zh-TW"/>
        </w:rPr>
        <w:t>实施方案</w:t>
      </w:r>
    </w:p>
    <w:p>
      <w:pPr>
        <w:pStyle w:val="6"/>
        <w:keepNext w:val="0"/>
        <w:keepLines w:val="0"/>
        <w:pageBreakBefore w:val="0"/>
        <w:widowControl/>
        <w:suppressLineNumbers w:val="0"/>
        <w:kinsoku/>
        <w:wordWrap/>
        <w:overflowPunct/>
        <w:topLinePunct w:val="0"/>
        <w:bidi w:val="0"/>
        <w:spacing w:line="560" w:lineRule="exact"/>
        <w:ind w:left="0" w:leftChars="0" w:firstLine="640"/>
        <w:rPr>
          <w:rFonts w:hint="default" w:ascii="Times New Roman" w:hAnsi="Times New Roman" w:eastAsia="仿宋_GB2312" w:cs="仿宋_GB2312"/>
          <w:color w:val="000000"/>
          <w:spacing w:val="-4"/>
          <w:kern w:val="0"/>
          <w:sz w:val="32"/>
          <w:szCs w:val="32"/>
          <w:lang w:val="en-US" w:eastAsia="zh-CN" w:bidi="en-US"/>
        </w:rPr>
      </w:pPr>
      <w:r>
        <w:rPr>
          <w:rFonts w:hint="eastAsia" w:ascii="Times New Roman" w:hAnsi="Times New Roman" w:eastAsia="仿宋_GB2312" w:cs="仿宋_GB2312"/>
          <w:color w:val="000000"/>
          <w:spacing w:val="-4"/>
          <w:kern w:val="0"/>
          <w:sz w:val="32"/>
          <w:szCs w:val="32"/>
          <w:lang w:val="en-US" w:eastAsia="zh-CN" w:bidi="en-US"/>
        </w:rPr>
        <w:t>按照自治区农业农村厅《关于下达2023年农业生产和水利救灾计划的通知》（宁农（种）发〔2023〕6号）精神，为切实做好海原县农业生产防灾救灾工作，加大重大灾害预防控制、灾后救灾及恢复资金投入，提前布局谋划防灾减灾工作，确保农业生产安全，结合我县农业防灾受灾实际</w:t>
      </w:r>
      <w:r>
        <w:rPr>
          <w:rFonts w:hint="default" w:ascii="Times New Roman" w:hAnsi="Times New Roman" w:eastAsia="仿宋_GB2312" w:cs="仿宋_GB2312"/>
          <w:color w:val="000000"/>
          <w:spacing w:val="-4"/>
          <w:kern w:val="0"/>
          <w:sz w:val="32"/>
          <w:szCs w:val="32"/>
          <w:lang w:val="en-US" w:eastAsia="zh-CN" w:bidi="en-US"/>
        </w:rPr>
        <w:t>，制定本实施方案。</w:t>
      </w:r>
    </w:p>
    <w:p>
      <w:pPr>
        <w:pageBreakBefore w:val="0"/>
        <w:kinsoku/>
        <w:wordWrap/>
        <w:overflowPunct/>
        <w:topLinePunct w:val="0"/>
        <w:bidi w:val="0"/>
        <w:spacing w:line="560" w:lineRule="exact"/>
        <w:ind w:left="0" w:leftChars="0" w:firstLine="640" w:firstLineChars="200"/>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一、</w:t>
      </w:r>
      <w:r>
        <w:rPr>
          <w:rFonts w:hint="eastAsia" w:ascii="Times New Roman" w:hAnsi="Times New Roman" w:eastAsia="黑体" w:cs="黑体"/>
          <w:sz w:val="32"/>
          <w:szCs w:val="32"/>
          <w:lang w:val="en-US" w:eastAsia="zh-CN"/>
        </w:rPr>
        <w:t>思路目标</w:t>
      </w:r>
    </w:p>
    <w:p>
      <w:pPr>
        <w:pStyle w:val="6"/>
        <w:keepNext w:val="0"/>
        <w:keepLines w:val="0"/>
        <w:pageBreakBefore w:val="0"/>
        <w:widowControl/>
        <w:suppressLineNumbers w:val="0"/>
        <w:kinsoku/>
        <w:wordWrap/>
        <w:overflowPunct/>
        <w:topLinePunct w:val="0"/>
        <w:bidi w:val="0"/>
        <w:spacing w:line="560" w:lineRule="exact"/>
        <w:ind w:left="0" w:leftChars="0" w:firstLine="640"/>
        <w:rPr>
          <w:rFonts w:hint="eastAsia" w:ascii="Times New Roman" w:hAnsi="Times New Roman" w:eastAsia="仿宋_GB2312" w:cs="仿宋_GB2312"/>
          <w:sz w:val="32"/>
          <w:szCs w:val="32"/>
        </w:rPr>
      </w:pPr>
      <w:r>
        <w:rPr>
          <w:rFonts w:ascii="Times New Roman" w:hAnsi="Times New Roman" w:eastAsia="仿宋_GB2312" w:cs="仿宋_GB2312"/>
          <w:color w:val="000000"/>
          <w:sz w:val="32"/>
          <w:szCs w:val="32"/>
        </w:rPr>
        <w:t>坚持“政府主导、预防为主、分级负责、社会互助、生产自救”的农业救灾工作方针，明确工作任务和职责，充分调动各方面积极性，全面保障农业生产，全力开展农业灾害预防控制和灾后救灾</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促进海原县农业农村经济持续健康发展，确保农业生产安全，</w:t>
      </w:r>
      <w:r>
        <w:rPr>
          <w:rFonts w:hint="eastAsia" w:ascii="Times New Roman" w:hAnsi="Times New Roman" w:eastAsia="仿宋_GB2312" w:cs="仿宋_GB2312"/>
          <w:sz w:val="32"/>
          <w:szCs w:val="32"/>
          <w:lang w:val="en-US" w:eastAsia="zh-CN"/>
        </w:rPr>
        <w:t>农业灾害</w:t>
      </w:r>
      <w:r>
        <w:rPr>
          <w:rFonts w:hint="eastAsia" w:ascii="Times New Roman" w:hAnsi="Times New Roman" w:eastAsia="仿宋_GB2312" w:cs="仿宋_GB2312"/>
          <w:sz w:val="32"/>
          <w:szCs w:val="32"/>
        </w:rPr>
        <w:t>损失率控制在5%以内。</w:t>
      </w:r>
    </w:p>
    <w:p>
      <w:pPr>
        <w:pStyle w:val="6"/>
        <w:keepNext w:val="0"/>
        <w:keepLines w:val="0"/>
        <w:pageBreakBefore w:val="0"/>
        <w:widowControl/>
        <w:numPr>
          <w:ilvl w:val="0"/>
          <w:numId w:val="1"/>
        </w:numPr>
        <w:suppressLineNumbers w:val="0"/>
        <w:kinsoku/>
        <w:wordWrap/>
        <w:overflowPunct/>
        <w:topLinePunct w:val="0"/>
        <w:bidi w:val="0"/>
        <w:spacing w:line="560" w:lineRule="exact"/>
        <w:ind w:left="0" w:leftChars="0" w:firstLine="640"/>
        <w:rPr>
          <w:rFonts w:hint="eastAsia" w:ascii="Times New Roman" w:hAnsi="Times New Roman" w:eastAsia="黑体" w:cs="黑体"/>
          <w:color w:val="000000"/>
          <w:spacing w:val="-4"/>
          <w:kern w:val="0"/>
          <w:sz w:val="32"/>
          <w:szCs w:val="32"/>
          <w:lang w:val="en-US" w:eastAsia="zh-CN" w:bidi="en-US"/>
        </w:rPr>
      </w:pPr>
      <w:r>
        <w:rPr>
          <w:rFonts w:hint="eastAsia" w:ascii="Times New Roman" w:hAnsi="Times New Roman" w:eastAsia="黑体" w:cs="黑体"/>
          <w:color w:val="000000"/>
          <w:spacing w:val="-4"/>
          <w:kern w:val="0"/>
          <w:sz w:val="32"/>
          <w:szCs w:val="32"/>
          <w:lang w:val="en-US" w:eastAsia="zh-CN" w:bidi="en-US"/>
        </w:rPr>
        <w:t>项目资金及补贴环节</w:t>
      </w:r>
    </w:p>
    <w:p>
      <w:pPr>
        <w:pStyle w:val="6"/>
        <w:keepNext w:val="0"/>
        <w:keepLines w:val="0"/>
        <w:pageBreakBefore w:val="0"/>
        <w:widowControl/>
        <w:numPr>
          <w:ilvl w:val="0"/>
          <w:numId w:val="0"/>
        </w:numPr>
        <w:suppressLineNumbers w:val="0"/>
        <w:kinsoku/>
        <w:wordWrap/>
        <w:overflowPunct/>
        <w:topLinePunct w:val="0"/>
        <w:bidi w:val="0"/>
        <w:spacing w:line="560" w:lineRule="exact"/>
        <w:ind w:left="0" w:leftChars="0"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自治区农业农村厅下达海原县</w:t>
      </w:r>
      <w:r>
        <w:rPr>
          <w:rFonts w:hint="default" w:ascii="Times New Roman" w:hAnsi="Times New Roman" w:eastAsia="仿宋_GB2312" w:cs="仿宋_GB2312"/>
          <w:sz w:val="32"/>
          <w:szCs w:val="32"/>
          <w:lang w:val="en-US" w:eastAsia="zh-CN"/>
        </w:rPr>
        <w:t>农业生产和水利救灾资金</w:t>
      </w:r>
      <w:r>
        <w:rPr>
          <w:rFonts w:hint="eastAsia" w:ascii="Times New Roman" w:hAnsi="Times New Roman" w:eastAsia="仿宋_GB2312" w:cs="仿宋_GB2312"/>
          <w:sz w:val="32"/>
          <w:szCs w:val="32"/>
          <w:lang w:val="en-US" w:eastAsia="zh-CN"/>
        </w:rPr>
        <w:t>120</w:t>
      </w:r>
      <w:r>
        <w:rPr>
          <w:rFonts w:hint="default" w:ascii="Times New Roman" w:hAnsi="Times New Roman" w:eastAsia="仿宋_GB2312" w:cs="仿宋_GB2312"/>
          <w:sz w:val="32"/>
          <w:szCs w:val="32"/>
          <w:lang w:val="en-US" w:eastAsia="zh-CN"/>
        </w:rPr>
        <w:t>万元</w:t>
      </w:r>
      <w:r>
        <w:rPr>
          <w:rFonts w:hint="eastAsia" w:ascii="Times New Roman" w:hAnsi="Times New Roman" w:eastAsia="仿宋_GB2312" w:cs="仿宋_GB2312"/>
          <w:sz w:val="32"/>
          <w:szCs w:val="32"/>
          <w:lang w:val="en-US" w:eastAsia="zh-CN"/>
        </w:rPr>
        <w:t>，主要用于粮食生产防范应对霜冻、干旱、冰雹和暴雨等灾害性天气及病虫草害危害，补贴范围包括购买农药、种子、肥料、农膜、植物生长调节剂</w:t>
      </w:r>
      <w:r>
        <w:rPr>
          <w:rFonts w:ascii="Times New Roman" w:hAnsi="Times New Roman" w:eastAsia="仿宋_GB2312" w:cs="仿宋_GB2312"/>
          <w:color w:val="000000"/>
          <w:sz w:val="32"/>
          <w:szCs w:val="32"/>
        </w:rPr>
        <w:t>等防灾救灾物资，以及作业费补助、</w:t>
      </w:r>
      <w:r>
        <w:rPr>
          <w:rFonts w:hint="eastAsia" w:ascii="Times New Roman" w:hAnsi="Times New Roman" w:eastAsia="仿宋_GB2312" w:cs="仿宋_GB2312"/>
          <w:color w:val="000000"/>
          <w:sz w:val="32"/>
          <w:szCs w:val="32"/>
          <w:lang w:val="en-US" w:eastAsia="zh-CN"/>
        </w:rPr>
        <w:t>农业生产设施修复、</w:t>
      </w:r>
      <w:r>
        <w:rPr>
          <w:rFonts w:ascii="Times New Roman" w:hAnsi="Times New Roman" w:eastAsia="仿宋_GB2312" w:cs="仿宋_GB2312"/>
          <w:color w:val="000000"/>
          <w:sz w:val="32"/>
          <w:szCs w:val="32"/>
        </w:rPr>
        <w:t>生物防治、综合防治、生态控制技术、修复诱虫灯等监控设施器械及调运、检疫处理、技术指导培训等费用。</w:t>
      </w:r>
      <w:r>
        <w:rPr>
          <w:rFonts w:hint="eastAsia" w:ascii="Times New Roman" w:hAnsi="Times New Roman" w:eastAsia="仿宋_GB2312" w:cs="仿宋_GB2312"/>
          <w:color w:val="000000"/>
          <w:sz w:val="32"/>
          <w:szCs w:val="32"/>
          <w:lang w:val="en-US" w:eastAsia="zh-CN"/>
        </w:rPr>
        <w:t>结合海原具体情况，项目实施计划如下：</w:t>
      </w:r>
    </w:p>
    <w:p>
      <w:pPr>
        <w:pStyle w:val="2"/>
        <w:keepNext w:val="0"/>
        <w:keepLines w:val="0"/>
        <w:pageBreakBefore w:val="0"/>
        <w:numPr>
          <w:ilvl w:val="0"/>
          <w:numId w:val="0"/>
        </w:numPr>
        <w:kinsoku/>
        <w:wordWrap/>
        <w:overflowPunct/>
        <w:topLinePunct w:val="0"/>
        <w:bidi w:val="0"/>
        <w:snapToGrid/>
        <w:spacing w:after="0" w:line="560" w:lineRule="exact"/>
        <w:ind w:left="0" w:leftChars="0" w:firstLine="627" w:firstLineChars="200"/>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楷体_GB2312" w:cs="楷体_GB2312"/>
          <w:b/>
          <w:bCs/>
          <w:color w:val="000000"/>
          <w:spacing w:val="-4"/>
          <w:kern w:val="0"/>
          <w:sz w:val="32"/>
          <w:szCs w:val="32"/>
          <w:lang w:val="en-US" w:eastAsia="zh-CN" w:bidi="en-US"/>
        </w:rPr>
        <w:t>开展玉米病虫害防控补助资金120万元。</w:t>
      </w:r>
      <w:r>
        <w:rPr>
          <w:rFonts w:hint="eastAsia" w:ascii="Times New Roman" w:hAnsi="Times New Roman" w:eastAsia="仿宋_GB2312" w:cs="仿宋_GB2312"/>
          <w:color w:val="000000"/>
          <w:kern w:val="0"/>
          <w:sz w:val="32"/>
          <w:szCs w:val="32"/>
          <w:lang w:val="en-US" w:eastAsia="zh-CN" w:bidi="ar"/>
        </w:rPr>
        <w:t>主要用于玉米病虫害防控物资采购及作业费补助，每亩补助20元，其中药剂补助20元/亩，作业费补助8元/亩。</w:t>
      </w:r>
    </w:p>
    <w:p>
      <w:pPr>
        <w:pStyle w:val="2"/>
        <w:keepNext w:val="0"/>
        <w:keepLines w:val="0"/>
        <w:pageBreakBefore w:val="0"/>
        <w:numPr>
          <w:ilvl w:val="0"/>
          <w:numId w:val="0"/>
        </w:numPr>
        <w:kinsoku/>
        <w:wordWrap/>
        <w:overflowPunct/>
        <w:topLinePunct w:val="0"/>
        <w:bidi w:val="0"/>
        <w:snapToGrid/>
        <w:spacing w:after="0" w:line="560" w:lineRule="exact"/>
        <w:ind w:left="0" w:leftChars="0" w:firstLine="624" w:firstLineChars="200"/>
        <w:rPr>
          <w:rFonts w:hint="eastAsia" w:ascii="Times New Roman" w:hAnsi="Times New Roman" w:eastAsia="黑体" w:cs="黑体"/>
          <w:color w:val="000000"/>
          <w:spacing w:val="-4"/>
          <w:kern w:val="0"/>
          <w:sz w:val="32"/>
          <w:szCs w:val="32"/>
          <w:lang w:val="en-US" w:eastAsia="zh-CN" w:bidi="en-US"/>
        </w:rPr>
      </w:pPr>
      <w:r>
        <w:rPr>
          <w:rFonts w:hint="eastAsia" w:ascii="Times New Roman" w:hAnsi="Times New Roman" w:eastAsia="黑体" w:cs="黑体"/>
          <w:color w:val="000000"/>
          <w:spacing w:val="-4"/>
          <w:kern w:val="0"/>
          <w:sz w:val="32"/>
          <w:szCs w:val="32"/>
          <w:lang w:val="en-US" w:eastAsia="zh-CN" w:bidi="en-US"/>
        </w:rPr>
        <w:t>三、项目实施内容及规模</w:t>
      </w:r>
    </w:p>
    <w:p>
      <w:pPr>
        <w:pStyle w:val="2"/>
        <w:keepNext w:val="0"/>
        <w:keepLines w:val="0"/>
        <w:pageBreakBefore w:val="0"/>
        <w:kinsoku/>
        <w:wordWrap/>
        <w:overflowPunct/>
        <w:topLinePunct w:val="0"/>
        <w:bidi w:val="0"/>
        <w:snapToGrid/>
        <w:spacing w:after="0" w:line="560" w:lineRule="exact"/>
        <w:ind w:left="0" w:leftChars="0" w:firstLine="627" w:firstLineChars="200"/>
        <w:rPr>
          <w:rFonts w:hint="eastAsia" w:ascii="Times New Roman" w:hAnsi="Times New Roman" w:eastAsia="仿宋_GB2312" w:cs="仿宋_GB2312"/>
          <w:color w:val="000000"/>
          <w:spacing w:val="-4"/>
          <w:kern w:val="0"/>
          <w:sz w:val="32"/>
          <w:szCs w:val="32"/>
          <w:lang w:val="en-US" w:eastAsia="zh-CN" w:bidi="en-US"/>
        </w:rPr>
      </w:pPr>
      <w:r>
        <w:rPr>
          <w:rFonts w:hint="eastAsia" w:ascii="Times New Roman" w:hAnsi="Times New Roman" w:eastAsia="楷体" w:cs="楷体"/>
          <w:b/>
          <w:bCs/>
          <w:color w:val="000000"/>
          <w:spacing w:val="-4"/>
          <w:kern w:val="0"/>
          <w:sz w:val="32"/>
          <w:szCs w:val="32"/>
          <w:lang w:val="en-US" w:eastAsia="zh-CN" w:bidi="en-US"/>
        </w:rPr>
        <w:t>玉米病虫害防控面积6万亩。</w:t>
      </w:r>
      <w:r>
        <w:rPr>
          <w:rFonts w:hint="eastAsia" w:ascii="Times New Roman" w:hAnsi="Times New Roman" w:eastAsia="仿宋_GB2312" w:cs="仿宋_GB2312"/>
          <w:color w:val="000000"/>
          <w:spacing w:val="-4"/>
          <w:kern w:val="0"/>
          <w:sz w:val="32"/>
          <w:szCs w:val="32"/>
          <w:lang w:val="en-US" w:eastAsia="zh-CN" w:bidi="en-US"/>
        </w:rPr>
        <w:t>根据各乡镇玉米种植情况及主要病虫害发生情况，广泛推广应用生物农药、高效低毒低残留农药以及总体防治、综合防治等绿色防控技术的目的，在玉米生长后期进行防治作业，确保防治面积和防治效果。计划对沙坡头区玉米病虫害防治全覆盖。采用药剂补贴+飞防作业费补贴的方式，补贴物资及飞防服务通过公开招标方式进行招标采购。通过树立展示牌、召开现场会、社会化服务组织给玉米种植户提供服务等方式，辐射带动农户接受专业化统防统治服务，扩大农作物病虫害专业化统防统治面积。采用药剂补贴方式，补贴物资及飞防服务通过公开招标方式进行招标采购。</w:t>
      </w:r>
    </w:p>
    <w:p>
      <w:pPr>
        <w:pStyle w:val="2"/>
        <w:keepNext w:val="0"/>
        <w:keepLines w:val="0"/>
        <w:pageBreakBefore w:val="0"/>
        <w:numPr>
          <w:ilvl w:val="0"/>
          <w:numId w:val="0"/>
        </w:numPr>
        <w:kinsoku/>
        <w:wordWrap/>
        <w:overflowPunct/>
        <w:topLinePunct w:val="0"/>
        <w:bidi w:val="0"/>
        <w:snapToGrid/>
        <w:spacing w:after="0" w:line="560" w:lineRule="exact"/>
        <w:ind w:left="0" w:leftChars="0" w:firstLine="624" w:firstLineChars="200"/>
        <w:rPr>
          <w:rFonts w:hint="eastAsia" w:ascii="Times New Roman" w:hAnsi="Times New Roman" w:eastAsia="黑体" w:cs="黑体"/>
          <w:color w:val="000000"/>
          <w:spacing w:val="-4"/>
          <w:kern w:val="0"/>
          <w:sz w:val="32"/>
          <w:szCs w:val="32"/>
          <w:lang w:val="en-US" w:eastAsia="zh-CN" w:bidi="en-US"/>
        </w:rPr>
      </w:pPr>
      <w:r>
        <w:rPr>
          <w:rFonts w:hint="eastAsia" w:ascii="Times New Roman" w:hAnsi="Times New Roman" w:eastAsia="黑体" w:cs="黑体"/>
          <w:color w:val="000000"/>
          <w:spacing w:val="-4"/>
          <w:kern w:val="0"/>
          <w:sz w:val="32"/>
          <w:szCs w:val="32"/>
          <w:lang w:val="en-US" w:eastAsia="zh-CN" w:bidi="en-US"/>
        </w:rPr>
        <w:t>四、实施进度安排</w:t>
      </w: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r>
        <w:rPr>
          <w:rFonts w:hint="default" w:ascii="Times New Roman" w:hAnsi="Times New Roman" w:eastAsia="仿宋_GB2312" w:cs="仿宋_GB2312"/>
          <w:color w:val="000000"/>
          <w:spacing w:val="-4"/>
          <w:kern w:val="0"/>
          <w:sz w:val="32"/>
          <w:szCs w:val="32"/>
          <w:lang w:val="en-US" w:eastAsia="zh-CN" w:bidi="en-US"/>
        </w:rPr>
        <w:t>4月上旬，制定实施方案，落实实施地点。</w:t>
      </w: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r>
        <w:rPr>
          <w:rFonts w:hint="default" w:ascii="Times New Roman" w:hAnsi="Times New Roman" w:eastAsia="仿宋_GB2312" w:cs="仿宋_GB2312"/>
          <w:color w:val="000000"/>
          <w:spacing w:val="-4"/>
          <w:kern w:val="0"/>
          <w:sz w:val="32"/>
          <w:szCs w:val="32"/>
          <w:lang w:val="en-US" w:eastAsia="zh-CN" w:bidi="en-US"/>
        </w:rPr>
        <w:t>4月中旬-9月下旬，组织实施阶段。</w:t>
      </w: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r>
        <w:rPr>
          <w:rFonts w:hint="default" w:ascii="Times New Roman" w:hAnsi="Times New Roman" w:eastAsia="仿宋_GB2312" w:cs="仿宋_GB2312"/>
          <w:color w:val="000000"/>
          <w:spacing w:val="-4"/>
          <w:kern w:val="0"/>
          <w:sz w:val="32"/>
          <w:szCs w:val="32"/>
          <w:lang w:val="en-US" w:eastAsia="zh-CN" w:bidi="en-US"/>
        </w:rPr>
        <w:t>10月下旬前，资料整理及工作总结。对实施的相关资料进行汇总分析，并完成总结报告和绩效自评报告上报自治区农业技术推广总站。</w:t>
      </w:r>
    </w:p>
    <w:p>
      <w:pPr>
        <w:pStyle w:val="2"/>
        <w:keepNext w:val="0"/>
        <w:keepLines w:val="0"/>
        <w:pageBreakBefore w:val="0"/>
        <w:kinsoku/>
        <w:wordWrap/>
        <w:overflowPunct/>
        <w:topLinePunct w:val="0"/>
        <w:bidi w:val="0"/>
        <w:snapToGrid/>
        <w:spacing w:after="0" w:line="560" w:lineRule="exact"/>
        <w:ind w:left="0" w:leftChars="0" w:firstLine="624" w:firstLineChars="200"/>
        <w:rPr>
          <w:rFonts w:hint="eastAsia" w:ascii="Times New Roman" w:hAnsi="Times New Roman" w:eastAsia="黑体" w:cs="黑体"/>
          <w:color w:val="000000"/>
          <w:spacing w:val="-4"/>
          <w:kern w:val="0"/>
          <w:sz w:val="32"/>
          <w:szCs w:val="32"/>
          <w:lang w:val="en-US" w:eastAsia="zh-CN" w:bidi="en-US"/>
        </w:rPr>
      </w:pPr>
      <w:r>
        <w:rPr>
          <w:rFonts w:hint="eastAsia" w:ascii="Times New Roman" w:hAnsi="Times New Roman" w:eastAsia="黑体" w:cs="黑体"/>
          <w:color w:val="000000"/>
          <w:spacing w:val="-4"/>
          <w:kern w:val="0"/>
          <w:sz w:val="32"/>
          <w:szCs w:val="32"/>
          <w:lang w:val="en-US" w:eastAsia="zh-CN" w:bidi="en-US"/>
        </w:rPr>
        <w:t>五、工作措施</w:t>
      </w:r>
    </w:p>
    <w:p>
      <w:pPr>
        <w:keepNext w:val="0"/>
        <w:keepLines w:val="0"/>
        <w:pageBreakBefore w:val="0"/>
        <w:widowControl/>
        <w:suppressLineNumbers w:val="0"/>
        <w:kinsoku/>
        <w:wordWrap/>
        <w:overflowPunct/>
        <w:topLinePunct w:val="0"/>
        <w:bidi w:val="0"/>
        <w:spacing w:line="560" w:lineRule="exact"/>
        <w:ind w:left="0" w:leftChars="0" w:firstLine="627" w:firstLineChars="200"/>
        <w:jc w:val="left"/>
        <w:rPr>
          <w:rFonts w:hint="default" w:ascii="Times New Roman" w:hAnsi="Times New Roman" w:eastAsia="仿宋_GB2312" w:cs="仿宋_GB2312"/>
          <w:color w:val="000000"/>
          <w:spacing w:val="-4"/>
          <w:kern w:val="0"/>
          <w:sz w:val="32"/>
          <w:szCs w:val="32"/>
          <w:lang w:val="en-US" w:eastAsia="zh-CN" w:bidi="en-US"/>
        </w:rPr>
      </w:pPr>
      <w:r>
        <w:rPr>
          <w:rFonts w:hint="default" w:ascii="Times New Roman" w:hAnsi="Times New Roman" w:eastAsia="楷体_GB2312" w:cs="楷体_GB2312"/>
          <w:b/>
          <w:bCs/>
          <w:color w:val="000000"/>
          <w:spacing w:val="-4"/>
          <w:kern w:val="0"/>
          <w:sz w:val="32"/>
          <w:szCs w:val="32"/>
          <w:lang w:val="en-US" w:eastAsia="zh-CN" w:bidi="en-US"/>
        </w:rPr>
        <w:t>（一）强化组织领导。</w:t>
      </w:r>
      <w:r>
        <w:rPr>
          <w:rFonts w:hint="eastAsia" w:ascii="Times New Roman" w:hAnsi="Times New Roman" w:eastAsia="仿宋_GB2312" w:cs="仿宋_GB2312"/>
          <w:color w:val="000000"/>
          <w:spacing w:val="-4"/>
          <w:kern w:val="0"/>
          <w:sz w:val="32"/>
          <w:szCs w:val="32"/>
          <w:lang w:val="en-US" w:eastAsia="zh-CN" w:bidi="en-US"/>
        </w:rPr>
        <w:t>成立由分管领导为组长、农业技术推广服务中心负责人为副组长，植保组全体为成员的工作领导小组，</w:t>
      </w:r>
      <w:r>
        <w:rPr>
          <w:rFonts w:ascii="Times New Roman" w:hAnsi="Times New Roman" w:eastAsia="仿宋_GB2312" w:cs="仿宋_GB2312"/>
          <w:color w:val="000000"/>
          <w:kern w:val="0"/>
          <w:sz w:val="32"/>
          <w:szCs w:val="32"/>
          <w:lang w:val="en-US" w:eastAsia="zh-CN" w:bidi="ar"/>
        </w:rPr>
        <w:t>负责农业救灾工作</w:t>
      </w:r>
      <w:r>
        <w:rPr>
          <w:rFonts w:ascii="Times New Roman" w:hAnsi="Times New Roman" w:eastAsia="仿宋_GB2312" w:cs="仿宋_GB2312"/>
          <w:color w:val="000000"/>
          <w:sz w:val="32"/>
          <w:szCs w:val="32"/>
        </w:rPr>
        <w:t>，制定完善防灾减灾、农业救灾工作方案和救灾资金使用具体方案，</w:t>
      </w:r>
      <w:r>
        <w:rPr>
          <w:rFonts w:hint="eastAsia" w:ascii="Times New Roman" w:hAnsi="Times New Roman" w:eastAsia="仿宋_GB2312" w:cs="仿宋_GB2312"/>
          <w:color w:val="000000"/>
          <w:spacing w:val="-4"/>
          <w:kern w:val="0"/>
          <w:sz w:val="32"/>
          <w:szCs w:val="32"/>
          <w:lang w:val="en-US" w:eastAsia="zh-CN" w:bidi="en-US"/>
        </w:rPr>
        <w:t>确定项目任务，</w:t>
      </w:r>
      <w:r>
        <w:rPr>
          <w:rFonts w:hint="default" w:ascii="Times New Roman" w:hAnsi="Times New Roman" w:eastAsia="仿宋_GB2312" w:cs="仿宋_GB2312"/>
          <w:color w:val="000000"/>
          <w:spacing w:val="-4"/>
          <w:kern w:val="0"/>
          <w:sz w:val="32"/>
          <w:szCs w:val="32"/>
          <w:lang w:val="en-US" w:eastAsia="zh-CN" w:bidi="en-US"/>
        </w:rPr>
        <w:t>落实实施地点、加强管理</w:t>
      </w:r>
      <w:r>
        <w:rPr>
          <w:rFonts w:hint="eastAsia" w:ascii="Times New Roman" w:hAnsi="Times New Roman" w:eastAsia="仿宋_GB2312" w:cs="仿宋_GB2312"/>
          <w:color w:val="000000"/>
          <w:spacing w:val="-4"/>
          <w:kern w:val="0"/>
          <w:sz w:val="32"/>
          <w:szCs w:val="32"/>
          <w:lang w:val="en-US" w:eastAsia="zh-CN" w:bidi="en-US"/>
        </w:rPr>
        <w:t>，做好项目实施情况调度、项目验收等工作。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仿宋_GB2312"/>
          <w:sz w:val="32"/>
          <w:szCs w:val="32"/>
          <w:lang w:val="en-US" w:eastAsia="zh-CN"/>
        </w:rPr>
      </w:pPr>
      <w:r>
        <w:rPr>
          <w:rFonts w:hint="eastAsia" w:ascii="Times New Roman" w:hAnsi="Times New Roman" w:eastAsia="仿宋" w:cs="仿宋_GB2312"/>
          <w:sz w:val="32"/>
          <w:szCs w:val="32"/>
          <w:lang w:eastAsia="zh-CN"/>
        </w:rPr>
        <w:t>组</w:t>
      </w:r>
      <w:r>
        <w:rPr>
          <w:rFonts w:hint="eastAsia" w:ascii="Times New Roman" w:hAnsi="Times New Roman" w:eastAsia="仿宋" w:cs="仿宋_GB2312"/>
          <w:sz w:val="32"/>
          <w:szCs w:val="32"/>
          <w:lang w:val="en-US" w:eastAsia="zh-CN"/>
        </w:rPr>
        <w:t xml:space="preserve">  </w:t>
      </w:r>
      <w:r>
        <w:rPr>
          <w:rFonts w:hint="eastAsia" w:ascii="Times New Roman" w:hAnsi="Times New Roman" w:eastAsia="仿宋" w:cs="仿宋_GB2312"/>
          <w:sz w:val="32"/>
          <w:szCs w:val="32"/>
          <w:lang w:eastAsia="zh-CN"/>
        </w:rPr>
        <w:t>长：</w:t>
      </w:r>
      <w:r>
        <w:rPr>
          <w:rFonts w:hint="eastAsia" w:ascii="Times New Roman" w:hAnsi="Times New Roman" w:eastAsia="仿宋" w:cs="仿宋_GB2312"/>
          <w:sz w:val="32"/>
          <w:szCs w:val="32"/>
          <w:lang w:val="en-US" w:eastAsia="zh-CN"/>
        </w:rPr>
        <w:t>罗建忠   农业农村局分管局长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 w:cs="仿宋_GB2312"/>
          <w:sz w:val="32"/>
          <w:szCs w:val="32"/>
          <w:lang w:val="en-US" w:eastAsia="zh-CN"/>
        </w:rPr>
      </w:pPr>
      <w:r>
        <w:rPr>
          <w:rFonts w:hint="eastAsia" w:ascii="Times New Roman" w:hAnsi="Times New Roman" w:eastAsia="仿宋" w:cs="仿宋_GB2312"/>
          <w:sz w:val="32"/>
          <w:szCs w:val="32"/>
          <w:lang w:val="en-US" w:eastAsia="zh-CN"/>
        </w:rPr>
        <w:t>副组长：李海梅   农技推广服务中心主任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 w:cs="仿宋_GB2312"/>
          <w:sz w:val="32"/>
          <w:szCs w:val="32"/>
          <w:lang w:val="en-US" w:eastAsia="zh-CN"/>
        </w:rPr>
      </w:pPr>
      <w:r>
        <w:rPr>
          <w:rFonts w:hint="eastAsia" w:ascii="Times New Roman" w:hAnsi="Times New Roman" w:eastAsia="仿宋" w:cs="仿宋_GB2312"/>
          <w:sz w:val="32"/>
          <w:szCs w:val="32"/>
          <w:lang w:val="en-US" w:eastAsia="zh-CN"/>
        </w:rPr>
        <w:t>成 员： 顾 敏    研究员（项目负责人）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Times New Roman" w:hAnsi="Times New Roman" w:eastAsia="仿宋" w:cs="仿宋_GB2312"/>
          <w:sz w:val="32"/>
          <w:szCs w:val="32"/>
          <w:lang w:val="en-US" w:eastAsia="zh-CN"/>
        </w:rPr>
      </w:pPr>
      <w:r>
        <w:rPr>
          <w:rFonts w:hint="eastAsia" w:ascii="Times New Roman" w:hAnsi="Times New Roman" w:eastAsia="仿宋" w:cs="仿宋_GB2312"/>
          <w:sz w:val="32"/>
          <w:szCs w:val="32"/>
          <w:lang w:val="en-US" w:eastAsia="zh-CN"/>
        </w:rPr>
        <w:t>崔建忠   高级农艺师（技术负责人）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Times New Roman" w:hAnsi="Times New Roman" w:eastAsia="仿宋" w:cs="仿宋_GB2312"/>
          <w:sz w:val="32"/>
          <w:szCs w:val="32"/>
          <w:lang w:val="en-US" w:eastAsia="zh-CN"/>
        </w:rPr>
      </w:pPr>
      <w:r>
        <w:rPr>
          <w:rFonts w:hint="eastAsia" w:ascii="Times New Roman" w:hAnsi="Times New Roman" w:eastAsia="仿宋" w:cs="仿宋_GB2312"/>
          <w:sz w:val="32"/>
          <w:szCs w:val="32"/>
          <w:lang w:val="en-US" w:eastAsia="zh-CN"/>
        </w:rPr>
        <w:t>夏永梅   高级农艺师（技术负责人）</w:t>
      </w:r>
    </w:p>
    <w:p>
      <w:pPr>
        <w:pStyle w:val="2"/>
        <w:keepNext w:val="0"/>
        <w:keepLines w:val="0"/>
        <w:pageBreakBefore w:val="0"/>
        <w:kinsoku/>
        <w:wordWrap/>
        <w:overflowPunct/>
        <w:topLinePunct w:val="0"/>
        <w:bidi w:val="0"/>
        <w:snapToGrid/>
        <w:spacing w:after="0" w:line="560" w:lineRule="exact"/>
        <w:ind w:left="0" w:leftChars="0" w:firstLine="1920" w:firstLineChars="600"/>
        <w:rPr>
          <w:rFonts w:hint="eastAsia" w:ascii="Times New Roman" w:hAnsi="Times New Roman" w:eastAsia="仿宋" w:cs="仿宋_GB2312"/>
          <w:sz w:val="32"/>
          <w:szCs w:val="32"/>
          <w:lang w:val="en-US" w:eastAsia="zh-CN"/>
        </w:rPr>
      </w:pPr>
      <w:r>
        <w:rPr>
          <w:rFonts w:hint="eastAsia" w:ascii="Times New Roman" w:hAnsi="Times New Roman" w:eastAsia="仿宋" w:cs="仿宋_GB2312"/>
          <w:sz w:val="32"/>
          <w:szCs w:val="32"/>
          <w:lang w:val="en-US" w:eastAsia="zh-CN"/>
        </w:rPr>
        <w:t>翟雪宁   技术员</w:t>
      </w:r>
    </w:p>
    <w:p>
      <w:pPr>
        <w:pStyle w:val="2"/>
        <w:keepNext w:val="0"/>
        <w:keepLines w:val="0"/>
        <w:pageBreakBefore w:val="0"/>
        <w:kinsoku/>
        <w:wordWrap/>
        <w:overflowPunct/>
        <w:topLinePunct w:val="0"/>
        <w:bidi w:val="0"/>
        <w:snapToGrid/>
        <w:spacing w:after="0" w:line="560" w:lineRule="exact"/>
        <w:ind w:left="0" w:leftChars="0" w:firstLine="1920" w:firstLineChars="600"/>
        <w:rPr>
          <w:rFonts w:hint="eastAsia" w:ascii="Times New Roman" w:hAnsi="Times New Roman" w:eastAsia="仿宋" w:cs="仿宋_GB2312"/>
          <w:sz w:val="32"/>
          <w:szCs w:val="32"/>
          <w:lang w:val="en-US" w:eastAsia="zh-CN"/>
        </w:rPr>
      </w:pPr>
      <w:r>
        <w:rPr>
          <w:rFonts w:hint="eastAsia" w:ascii="Times New Roman" w:hAnsi="Times New Roman" w:eastAsia="仿宋" w:cs="仿宋_GB2312"/>
          <w:sz w:val="32"/>
          <w:szCs w:val="32"/>
          <w:lang w:val="en-US" w:eastAsia="zh-CN"/>
        </w:rPr>
        <w:t>杨荣荣   技术员</w:t>
      </w:r>
    </w:p>
    <w:p>
      <w:pPr>
        <w:pStyle w:val="2"/>
        <w:keepNext w:val="0"/>
        <w:keepLines w:val="0"/>
        <w:pageBreakBefore w:val="0"/>
        <w:kinsoku/>
        <w:wordWrap/>
        <w:overflowPunct/>
        <w:topLinePunct w:val="0"/>
        <w:bidi w:val="0"/>
        <w:snapToGrid/>
        <w:spacing w:after="0" w:line="560" w:lineRule="exact"/>
        <w:ind w:left="0" w:leftChars="0" w:firstLine="1920" w:firstLineChars="600"/>
        <w:rPr>
          <w:rFonts w:hint="default" w:ascii="Times New Roman" w:hAnsi="Times New Roman"/>
          <w:sz w:val="32"/>
          <w:szCs w:val="32"/>
          <w:lang w:val="en-US" w:eastAsia="zh-CN"/>
        </w:rPr>
      </w:pPr>
      <w:r>
        <w:rPr>
          <w:rFonts w:hint="eastAsia" w:ascii="Times New Roman" w:hAnsi="Times New Roman" w:eastAsia="仿宋" w:cs="仿宋_GB2312"/>
          <w:sz w:val="32"/>
          <w:szCs w:val="32"/>
          <w:lang w:val="en-US" w:eastAsia="zh-CN"/>
        </w:rPr>
        <w:t>各乡镇农业综合服务中心技术人员</w:t>
      </w:r>
    </w:p>
    <w:p>
      <w:pPr>
        <w:keepNext w:val="0"/>
        <w:keepLines w:val="0"/>
        <w:pageBreakBefore w:val="0"/>
        <w:widowControl/>
        <w:suppressLineNumbers w:val="0"/>
        <w:kinsoku/>
        <w:wordWrap/>
        <w:overflowPunct/>
        <w:topLinePunct w:val="0"/>
        <w:bidi w:val="0"/>
        <w:snapToGrid/>
        <w:spacing w:line="560" w:lineRule="exact"/>
        <w:ind w:left="0" w:leftChars="0" w:firstLine="627" w:firstLineChars="200"/>
        <w:jc w:val="left"/>
        <w:rPr>
          <w:rFonts w:ascii="Times New Roman" w:hAnsi="Times New Roman"/>
          <w:sz w:val="32"/>
          <w:szCs w:val="32"/>
        </w:rPr>
      </w:pPr>
      <w:r>
        <w:rPr>
          <w:rFonts w:hint="default" w:ascii="Times New Roman" w:hAnsi="Times New Roman" w:eastAsia="楷体_GB2312" w:cs="楷体_GB2312"/>
          <w:b/>
          <w:bCs/>
          <w:color w:val="000000"/>
          <w:spacing w:val="-4"/>
          <w:kern w:val="0"/>
          <w:sz w:val="32"/>
          <w:szCs w:val="32"/>
          <w:lang w:val="en-US" w:eastAsia="zh-CN" w:bidi="en-US"/>
        </w:rPr>
        <w:t>（二）</w:t>
      </w:r>
      <w:r>
        <w:rPr>
          <w:rFonts w:ascii="Times New Roman" w:hAnsi="Times New Roman" w:eastAsia="仿宋_GB2312" w:cs="仿宋_GB2312"/>
          <w:b/>
          <w:bCs/>
          <w:color w:val="000000"/>
          <w:kern w:val="0"/>
          <w:sz w:val="32"/>
          <w:szCs w:val="32"/>
          <w:lang w:val="en-US" w:eastAsia="zh-CN" w:bidi="ar"/>
        </w:rPr>
        <w:t>明确工作责任。</w:t>
      </w:r>
      <w:r>
        <w:rPr>
          <w:rFonts w:ascii="Times New Roman" w:hAnsi="Times New Roman" w:eastAsia="仿宋_GB2312" w:cs="仿宋_GB2312"/>
          <w:color w:val="000000"/>
          <w:kern w:val="0"/>
          <w:sz w:val="32"/>
          <w:szCs w:val="32"/>
          <w:lang w:val="en-US" w:eastAsia="zh-CN" w:bidi="ar"/>
        </w:rPr>
        <w:t>农业农村</w:t>
      </w:r>
      <w:r>
        <w:rPr>
          <w:rFonts w:hint="eastAsia" w:ascii="Times New Roman" w:hAnsi="Times New Roman" w:eastAsia="仿宋_GB2312" w:cs="仿宋_GB2312"/>
          <w:color w:val="000000"/>
          <w:kern w:val="0"/>
          <w:sz w:val="32"/>
          <w:szCs w:val="32"/>
          <w:lang w:val="en-US" w:eastAsia="zh-CN" w:bidi="ar"/>
        </w:rPr>
        <w:t>局主管</w:t>
      </w:r>
      <w:r>
        <w:rPr>
          <w:rFonts w:ascii="Times New Roman" w:hAnsi="Times New Roman" w:eastAsia="仿宋_GB2312" w:cs="仿宋_GB2312"/>
          <w:color w:val="000000"/>
          <w:kern w:val="0"/>
          <w:sz w:val="32"/>
          <w:szCs w:val="32"/>
          <w:lang w:val="en-US" w:eastAsia="zh-CN" w:bidi="ar"/>
        </w:rPr>
        <w:t>部门要</w:t>
      </w:r>
      <w:r>
        <w:rPr>
          <w:rFonts w:ascii="Times New Roman" w:hAnsi="Times New Roman" w:eastAsia="仿宋_GB2312" w:cs="仿宋_GB2312"/>
          <w:color w:val="000000"/>
          <w:sz w:val="32"/>
          <w:szCs w:val="32"/>
        </w:rPr>
        <w:t>明确责任，加强救灾资金管理，认真组织排查核实灾情，及时报送灾情报告，对受灾地区安排救灾资金，积极组织做好</w:t>
      </w:r>
      <w:r>
        <w:rPr>
          <w:rFonts w:hint="eastAsia" w:ascii="Times New Roman" w:hAnsi="Times New Roman" w:eastAsia="仿宋_GB2312" w:cs="仿宋_GB2312"/>
          <w:color w:val="000000"/>
          <w:sz w:val="32"/>
          <w:szCs w:val="32"/>
          <w:lang w:val="en-US" w:eastAsia="zh-CN"/>
        </w:rPr>
        <w:t>救灾物资供应</w:t>
      </w:r>
      <w:r>
        <w:rPr>
          <w:rFonts w:ascii="Times New Roman" w:hAnsi="Times New Roman" w:eastAsia="仿宋_GB2312" w:cs="仿宋_GB2312"/>
          <w:color w:val="000000"/>
          <w:sz w:val="32"/>
          <w:szCs w:val="32"/>
        </w:rPr>
        <w:t>调配工作</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pacing w:val="-4"/>
          <w:kern w:val="0"/>
          <w:sz w:val="32"/>
          <w:szCs w:val="32"/>
          <w:lang w:val="en-US" w:eastAsia="zh-CN" w:bidi="en-US"/>
        </w:rPr>
        <w:t>并组织技术人员深入生产一线开展技术指导工作，</w:t>
      </w:r>
      <w:r>
        <w:rPr>
          <w:rFonts w:hint="default" w:ascii="Times New Roman" w:hAnsi="Times New Roman" w:eastAsia="仿宋_GB2312" w:cs="仿宋_GB2312"/>
          <w:color w:val="000000"/>
          <w:spacing w:val="-4"/>
          <w:kern w:val="0"/>
          <w:sz w:val="32"/>
          <w:szCs w:val="32"/>
          <w:lang w:val="en-US" w:eastAsia="zh-CN" w:bidi="en-US"/>
        </w:rPr>
        <w:t>确保</w:t>
      </w:r>
      <w:r>
        <w:rPr>
          <w:rFonts w:hint="eastAsia" w:ascii="Times New Roman" w:hAnsi="Times New Roman" w:eastAsia="仿宋_GB2312" w:cs="仿宋_GB2312"/>
          <w:color w:val="000000"/>
          <w:spacing w:val="-4"/>
          <w:kern w:val="0"/>
          <w:sz w:val="32"/>
          <w:szCs w:val="32"/>
          <w:lang w:val="en-US" w:eastAsia="zh-CN" w:bidi="en-US"/>
        </w:rPr>
        <w:t>实施效果</w:t>
      </w:r>
      <w:r>
        <w:rPr>
          <w:rFonts w:hint="default" w:ascii="Times New Roman" w:hAnsi="Times New Roman" w:eastAsia="仿宋_GB2312" w:cs="仿宋_GB2312"/>
          <w:color w:val="000000"/>
          <w:spacing w:val="-4"/>
          <w:kern w:val="0"/>
          <w:sz w:val="32"/>
          <w:szCs w:val="32"/>
          <w:lang w:val="en-US" w:eastAsia="zh-CN" w:bidi="en-US"/>
        </w:rPr>
        <w:t>。</w:t>
      </w:r>
      <w:r>
        <w:rPr>
          <w:rFonts w:ascii="Times New Roman" w:hAnsi="Times New Roman" w:eastAsia="仿宋_GB2312" w:cs="仿宋_GB2312"/>
          <w:color w:val="000000"/>
          <w:sz w:val="32"/>
          <w:szCs w:val="32"/>
        </w:rPr>
        <w:t>年底要认真开展农业救灾工作总结评估，并将总结上报自治区农业农村厅规划财务处和种植业管理处。</w:t>
      </w:r>
    </w:p>
    <w:p>
      <w:pPr>
        <w:keepNext w:val="0"/>
        <w:keepLines w:val="0"/>
        <w:pageBreakBefore w:val="0"/>
        <w:widowControl/>
        <w:suppressLineNumbers w:val="0"/>
        <w:kinsoku/>
        <w:wordWrap/>
        <w:overflowPunct/>
        <w:topLinePunct w:val="0"/>
        <w:bidi w:val="0"/>
        <w:spacing w:line="560" w:lineRule="exact"/>
        <w:ind w:left="0" w:leftChars="0" w:firstLine="627" w:firstLineChars="200"/>
        <w:jc w:val="left"/>
        <w:rPr>
          <w:rFonts w:hint="default" w:ascii="Times New Roman" w:hAnsi="Times New Roman" w:eastAsia="楷体_GB2312" w:cs="楷体_GB2312"/>
          <w:b/>
          <w:bCs/>
          <w:color w:val="000000"/>
          <w:spacing w:val="-4"/>
          <w:kern w:val="0"/>
          <w:sz w:val="32"/>
          <w:szCs w:val="32"/>
          <w:lang w:val="en-US" w:eastAsia="zh-CN" w:bidi="en-US"/>
        </w:rPr>
      </w:pPr>
      <w:r>
        <w:rPr>
          <w:rFonts w:hint="default" w:ascii="Times New Roman" w:hAnsi="Times New Roman" w:eastAsia="楷体_GB2312" w:cs="楷体_GB2312"/>
          <w:b/>
          <w:bCs/>
          <w:color w:val="000000"/>
          <w:spacing w:val="-4"/>
          <w:kern w:val="0"/>
          <w:sz w:val="32"/>
          <w:szCs w:val="32"/>
          <w:lang w:val="en-US" w:eastAsia="zh-CN" w:bidi="en-US"/>
        </w:rPr>
        <w:t>（</w:t>
      </w:r>
      <w:r>
        <w:rPr>
          <w:rFonts w:hint="eastAsia" w:ascii="Times New Roman" w:hAnsi="Times New Roman" w:eastAsia="楷体_GB2312" w:cs="楷体_GB2312"/>
          <w:b/>
          <w:bCs/>
          <w:color w:val="000000"/>
          <w:spacing w:val="-4"/>
          <w:kern w:val="0"/>
          <w:sz w:val="32"/>
          <w:szCs w:val="32"/>
          <w:lang w:val="en-US" w:eastAsia="zh-CN" w:bidi="en-US"/>
        </w:rPr>
        <w:t>四</w:t>
      </w:r>
      <w:r>
        <w:rPr>
          <w:rFonts w:hint="default" w:ascii="Times New Roman" w:hAnsi="Times New Roman" w:eastAsia="楷体_GB2312" w:cs="楷体_GB2312"/>
          <w:b/>
          <w:bCs/>
          <w:color w:val="000000"/>
          <w:spacing w:val="-4"/>
          <w:kern w:val="0"/>
          <w:sz w:val="32"/>
          <w:szCs w:val="32"/>
          <w:lang w:val="en-US" w:eastAsia="zh-CN" w:bidi="en-US"/>
        </w:rPr>
        <w:t>）</w:t>
      </w:r>
      <w:r>
        <w:rPr>
          <w:rFonts w:ascii="Times New Roman" w:hAnsi="Times New Roman" w:eastAsia="仿宋_GB2312" w:cs="仿宋_GB2312"/>
          <w:b/>
          <w:bCs/>
          <w:color w:val="000000"/>
          <w:kern w:val="0"/>
          <w:sz w:val="32"/>
          <w:szCs w:val="32"/>
          <w:lang w:val="en-US" w:eastAsia="zh-CN" w:bidi="ar"/>
        </w:rPr>
        <w:t>加强</w:t>
      </w:r>
      <w:r>
        <w:rPr>
          <w:rFonts w:hint="eastAsia" w:ascii="Times New Roman" w:hAnsi="Times New Roman" w:eastAsia="仿宋_GB2312" w:cs="仿宋_GB2312"/>
          <w:b/>
          <w:bCs/>
          <w:color w:val="000000"/>
          <w:kern w:val="0"/>
          <w:sz w:val="32"/>
          <w:szCs w:val="32"/>
          <w:lang w:val="en-US" w:eastAsia="zh-CN" w:bidi="ar"/>
        </w:rPr>
        <w:t>技术指导</w:t>
      </w:r>
      <w:r>
        <w:rPr>
          <w:rFonts w:ascii="Times New Roman" w:hAnsi="Times New Roman" w:eastAsia="仿宋_GB2312" w:cs="仿宋_GB2312"/>
          <w:b/>
          <w:bCs/>
          <w:color w:val="000000"/>
          <w:kern w:val="0"/>
          <w:sz w:val="32"/>
          <w:szCs w:val="32"/>
          <w:lang w:val="en-US" w:eastAsia="zh-CN" w:bidi="ar"/>
        </w:rPr>
        <w:t>。</w:t>
      </w:r>
      <w:r>
        <w:rPr>
          <w:rFonts w:hint="eastAsia" w:ascii="Times New Roman" w:hAnsi="Times New Roman" w:eastAsia="仿宋_GB2312" w:cs="仿宋_GB2312"/>
          <w:color w:val="000000"/>
          <w:sz w:val="32"/>
          <w:szCs w:val="32"/>
          <w:lang w:val="en-US" w:eastAsia="zh-CN"/>
        </w:rPr>
        <w:t>农技推广服务中心做好示范区的病害监测和调查工作，病虫害发生关键季节，组织相关专家技术人员，开展绿色防控技术巡回指导，及时组织有关农户进行绿色防控技术培训，及时发放“明白纸”、“技术手册”“病虫情报”等技术宣传资料。</w:t>
      </w:r>
    </w:p>
    <w:p>
      <w:pPr>
        <w:keepNext w:val="0"/>
        <w:keepLines w:val="0"/>
        <w:pageBreakBefore w:val="0"/>
        <w:widowControl/>
        <w:suppressLineNumbers w:val="0"/>
        <w:kinsoku/>
        <w:wordWrap/>
        <w:overflowPunct/>
        <w:topLinePunct w:val="0"/>
        <w:bidi w:val="0"/>
        <w:spacing w:line="560" w:lineRule="exact"/>
        <w:ind w:left="0" w:leftChars="0" w:firstLine="627" w:firstLineChars="200"/>
        <w:jc w:val="left"/>
        <w:rPr>
          <w:rFonts w:ascii="Times New Roman" w:hAnsi="Times New Roman"/>
          <w:sz w:val="32"/>
          <w:szCs w:val="32"/>
        </w:rPr>
      </w:pPr>
      <w:r>
        <w:rPr>
          <w:rFonts w:hint="default" w:ascii="Times New Roman" w:hAnsi="Times New Roman" w:eastAsia="楷体_GB2312" w:cs="楷体_GB2312"/>
          <w:b/>
          <w:bCs/>
          <w:color w:val="000000"/>
          <w:spacing w:val="-4"/>
          <w:kern w:val="0"/>
          <w:sz w:val="32"/>
          <w:szCs w:val="32"/>
          <w:lang w:val="en-US" w:eastAsia="zh-CN" w:bidi="en-US"/>
        </w:rPr>
        <w:t>（</w:t>
      </w:r>
      <w:r>
        <w:rPr>
          <w:rFonts w:hint="eastAsia" w:ascii="Times New Roman" w:hAnsi="Times New Roman" w:eastAsia="楷体_GB2312" w:cs="楷体_GB2312"/>
          <w:b/>
          <w:bCs/>
          <w:color w:val="000000"/>
          <w:spacing w:val="-4"/>
          <w:kern w:val="0"/>
          <w:sz w:val="32"/>
          <w:szCs w:val="32"/>
          <w:lang w:val="en-US" w:eastAsia="zh-CN" w:bidi="en-US"/>
        </w:rPr>
        <w:t>四</w:t>
      </w:r>
      <w:r>
        <w:rPr>
          <w:rFonts w:hint="default" w:ascii="Times New Roman" w:hAnsi="Times New Roman" w:eastAsia="楷体_GB2312" w:cs="楷体_GB2312"/>
          <w:b/>
          <w:bCs/>
          <w:color w:val="000000"/>
          <w:spacing w:val="-4"/>
          <w:kern w:val="0"/>
          <w:sz w:val="32"/>
          <w:szCs w:val="32"/>
          <w:lang w:val="en-US" w:eastAsia="zh-CN" w:bidi="en-US"/>
        </w:rPr>
        <w:t>）</w:t>
      </w:r>
      <w:r>
        <w:rPr>
          <w:rFonts w:ascii="Times New Roman" w:hAnsi="Times New Roman" w:eastAsia="仿宋_GB2312" w:cs="仿宋_GB2312"/>
          <w:b/>
          <w:bCs/>
          <w:color w:val="000000"/>
          <w:kern w:val="0"/>
          <w:sz w:val="32"/>
          <w:szCs w:val="32"/>
          <w:lang w:val="en-US" w:eastAsia="zh-CN" w:bidi="ar"/>
        </w:rPr>
        <w:t>加强督导检查。</w:t>
      </w:r>
      <w:r>
        <w:rPr>
          <w:rFonts w:ascii="Times New Roman" w:hAnsi="Times New Roman" w:eastAsia="仿宋_GB2312" w:cs="仿宋_GB2312"/>
          <w:color w:val="000000"/>
          <w:kern w:val="0"/>
          <w:sz w:val="32"/>
          <w:szCs w:val="32"/>
          <w:lang w:val="en-US" w:eastAsia="zh-CN" w:bidi="ar"/>
        </w:rPr>
        <w:t>农业农村</w:t>
      </w:r>
      <w:r>
        <w:rPr>
          <w:rFonts w:hint="eastAsia" w:ascii="Times New Roman" w:hAnsi="Times New Roman" w:eastAsia="仿宋_GB2312" w:cs="仿宋_GB2312"/>
          <w:color w:val="000000"/>
          <w:kern w:val="0"/>
          <w:sz w:val="32"/>
          <w:szCs w:val="32"/>
          <w:lang w:val="en-US" w:eastAsia="zh-CN" w:bidi="ar"/>
        </w:rPr>
        <w:t>局</w:t>
      </w:r>
      <w:r>
        <w:rPr>
          <w:rFonts w:ascii="Times New Roman" w:hAnsi="Times New Roman" w:eastAsia="仿宋_GB2312" w:cs="仿宋_GB2312"/>
          <w:color w:val="000000"/>
          <w:kern w:val="0"/>
          <w:sz w:val="32"/>
          <w:szCs w:val="32"/>
          <w:lang w:val="en-US" w:eastAsia="zh-CN" w:bidi="ar"/>
        </w:rPr>
        <w:t>和财政部</w:t>
      </w:r>
      <w:r>
        <w:rPr>
          <w:rFonts w:ascii="Times New Roman" w:hAnsi="Times New Roman" w:eastAsia="仿宋_GB2312" w:cs="仿宋_GB2312"/>
          <w:color w:val="000000"/>
          <w:sz w:val="32"/>
          <w:szCs w:val="32"/>
        </w:rPr>
        <w:t>门要密切配合，严格项目资金管理，规范资金使用程序，严禁挤占、挪用资金，做到专款专用和公开、公正、透明，确保项</w:t>
      </w:r>
      <w:r>
        <w:rPr>
          <w:rFonts w:ascii="Times New Roman" w:hAnsi="Times New Roman" w:eastAsia="仿宋_GB2312" w:cs="仿宋_GB2312"/>
          <w:color w:val="000000"/>
          <w:kern w:val="0"/>
          <w:sz w:val="32"/>
          <w:szCs w:val="32"/>
          <w:lang w:val="en-US" w:eastAsia="zh-CN" w:bidi="ar"/>
        </w:rPr>
        <w:t>目资金发挥实效。自治区农业农村厅将安排工作组在项目实施</w:t>
      </w:r>
      <w:r>
        <w:rPr>
          <w:rFonts w:ascii="Times New Roman" w:hAnsi="Times New Roman" w:eastAsia="仿宋_GB2312" w:cs="仿宋_GB2312"/>
          <w:color w:val="000000"/>
          <w:sz w:val="32"/>
          <w:szCs w:val="32"/>
        </w:rPr>
        <w:t>过程中不定期进行督导检查。对发现的违纪违规行为将依照相关法律法规严肃处理。</w:t>
      </w: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eastAsia" w:ascii="Times New Roman" w:hAnsi="Times New Roman" w:eastAsia="黑体" w:cs="黑体"/>
          <w:color w:val="000000"/>
          <w:spacing w:val="-4"/>
          <w:kern w:val="0"/>
          <w:sz w:val="28"/>
          <w:szCs w:val="28"/>
          <w:lang w:val="en-US" w:eastAsia="zh-CN" w:bidi="en-US"/>
        </w:rPr>
      </w:pPr>
      <w:r>
        <w:rPr>
          <w:rFonts w:hint="eastAsia" w:ascii="Times New Roman" w:hAnsi="Times New Roman" w:eastAsia="黑体" w:cs="黑体"/>
          <w:color w:val="000000"/>
          <w:spacing w:val="-4"/>
          <w:kern w:val="0"/>
          <w:sz w:val="28"/>
          <w:szCs w:val="28"/>
          <w:lang w:val="en-US" w:eastAsia="zh-CN" w:bidi="en-US"/>
        </w:rPr>
        <w:t>附件1</w:t>
      </w:r>
    </w:p>
    <w:p>
      <w:pPr>
        <w:pStyle w:val="2"/>
        <w:keepNext w:val="0"/>
        <w:keepLines w:val="0"/>
        <w:pageBreakBefore w:val="0"/>
        <w:widowControl/>
        <w:kinsoku/>
        <w:wordWrap/>
        <w:overflowPunct/>
        <w:topLinePunct w:val="0"/>
        <w:autoSpaceDE w:val="0"/>
        <w:autoSpaceDN w:val="0"/>
        <w:bidi w:val="0"/>
        <w:adjustRightInd w:val="0"/>
        <w:snapToGrid/>
        <w:spacing w:after="0" w:line="560" w:lineRule="exact"/>
        <w:ind w:left="0" w:leftChars="0" w:firstLine="880" w:firstLineChars="200"/>
        <w:jc w:val="center"/>
        <w:textAlignment w:val="bottom"/>
        <w:rPr>
          <w:rFonts w:hint="default" w:ascii="Times New Roman" w:hAnsi="Times New Roman" w:eastAsia="方正小标宋_GBK" w:cs="方正小标宋_GBK"/>
          <w:bCs/>
          <w:color w:val="000000"/>
          <w:kern w:val="2"/>
          <w:sz w:val="44"/>
          <w:szCs w:val="44"/>
          <w:lang w:val="en-US" w:eastAsia="zh-CN" w:bidi="zh-TW"/>
        </w:rPr>
      </w:pPr>
      <w:r>
        <w:rPr>
          <w:rFonts w:hint="default" w:ascii="Times New Roman" w:hAnsi="Times New Roman" w:eastAsia="方正小标宋_GBK" w:cs="方正小标宋_GBK"/>
          <w:bCs/>
          <w:color w:val="000000"/>
          <w:kern w:val="2"/>
          <w:sz w:val="44"/>
          <w:szCs w:val="44"/>
          <w:lang w:val="en-US" w:eastAsia="zh-CN" w:bidi="zh-TW"/>
        </w:rPr>
        <w:t>202</w:t>
      </w:r>
      <w:r>
        <w:rPr>
          <w:rFonts w:hint="eastAsia" w:ascii="Times New Roman" w:hAnsi="Times New Roman" w:eastAsia="方正小标宋_GBK" w:cs="方正小标宋_GBK"/>
          <w:bCs/>
          <w:color w:val="000000"/>
          <w:kern w:val="2"/>
          <w:sz w:val="44"/>
          <w:szCs w:val="44"/>
          <w:lang w:val="en-US" w:eastAsia="zh-CN" w:bidi="zh-TW"/>
        </w:rPr>
        <w:t>3</w:t>
      </w:r>
      <w:r>
        <w:rPr>
          <w:rFonts w:hint="default" w:ascii="Times New Roman" w:hAnsi="Times New Roman" w:eastAsia="方正小标宋_GBK" w:cs="方正小标宋_GBK"/>
          <w:bCs/>
          <w:color w:val="000000"/>
          <w:kern w:val="2"/>
          <w:sz w:val="44"/>
          <w:szCs w:val="44"/>
          <w:lang w:val="en-US" w:eastAsia="zh-CN" w:bidi="zh-TW"/>
        </w:rPr>
        <w:t>年农业生产和水利救灾资金项目绩效考核方案</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仿宋_GB2312" w:cs="仿宋_GB2312"/>
          <w:color w:val="000000"/>
          <w:sz w:val="31"/>
          <w:szCs w:val="31"/>
        </w:rPr>
        <w:t>为进一步加强项目管理，通过项目绩效目标考核客观真实地反映财政项目实施情况，为充分发挥项目资金使用效益，不断提高全区农业防灾减灾能力，保障农业生产安全，特制定本方案。</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黑体" w:cs="黑体"/>
          <w:color w:val="000000"/>
          <w:sz w:val="31"/>
          <w:szCs w:val="31"/>
        </w:rPr>
        <w:t>一、基本要求</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仿宋_GB2312" w:cs="仿宋_GB2312"/>
          <w:color w:val="000000"/>
          <w:sz w:val="31"/>
          <w:szCs w:val="31"/>
        </w:rPr>
        <w:t>完善考核方案，制定具有科学性和可操作性的考核指标；规范考核程序，遵循县级自验、区级抽验的程序，统一标准，逐级把关，阳光操作，确保农业生产救灾资金项目考核验收顺利开展。</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黑体" w:cs="黑体"/>
          <w:color w:val="000000"/>
          <w:sz w:val="31"/>
          <w:szCs w:val="31"/>
        </w:rPr>
        <w:t>二、考核原则</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仿宋_GB2312" w:cs="仿宋_GB2312"/>
          <w:color w:val="000000"/>
          <w:sz w:val="31"/>
          <w:szCs w:val="31"/>
        </w:rPr>
        <w:t>按照科学规范、公开透明、客观公正、严格公平的原则，严格考核程序、考核内容、考核标准，并自觉接受监督，确保考核工作公平、公正。坚持考核结果与补助经费挂钩，根据考核发现的问题，及时整改，持续推进项目管理工作。</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黑体" w:cs="黑体"/>
          <w:color w:val="000000"/>
          <w:sz w:val="31"/>
          <w:szCs w:val="31"/>
        </w:rPr>
        <w:t>三、考核对象</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仿宋_GB2312" w:cs="仿宋_GB2312"/>
          <w:color w:val="000000"/>
          <w:sz w:val="31"/>
          <w:szCs w:val="31"/>
        </w:rPr>
        <w:t>农业农村主管部门。</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黑体" w:cs="黑体"/>
          <w:color w:val="000000"/>
          <w:sz w:val="31"/>
          <w:szCs w:val="31"/>
        </w:rPr>
        <w:t>四、考核内容及权重比例</w:t>
      </w:r>
    </w:p>
    <w:p>
      <w:pPr>
        <w:pStyle w:val="6"/>
        <w:keepNext w:val="0"/>
        <w:keepLines w:val="0"/>
        <w:pageBreakBefore w:val="0"/>
        <w:widowControl/>
        <w:suppressLineNumbers w:val="0"/>
        <w:kinsoku/>
        <w:wordWrap/>
        <w:overflowPunct/>
        <w:topLinePunct w:val="0"/>
        <w:bidi w:val="0"/>
        <w:spacing w:line="560" w:lineRule="exact"/>
        <w:ind w:left="0" w:leftChars="0"/>
        <w:rPr>
          <w:rFonts w:ascii="Times New Roman" w:hAnsi="Times New Roman"/>
        </w:rPr>
      </w:pPr>
      <w:r>
        <w:rPr>
          <w:rFonts w:ascii="Times New Roman" w:hAnsi="Times New Roman" w:eastAsia="仿宋_GB2312" w:cs="仿宋_GB2312"/>
          <w:color w:val="000000"/>
          <w:sz w:val="28"/>
          <w:szCs w:val="28"/>
        </w:rPr>
        <w:t>—</w:t>
      </w:r>
      <w:r>
        <w:rPr>
          <w:rFonts w:ascii="Times New Roman" w:hAnsi="Times New Roman" w:eastAsia="宋体" w:cs="宋体"/>
          <w:color w:val="000000"/>
          <w:sz w:val="28"/>
          <w:szCs w:val="28"/>
        </w:rPr>
        <w:t>6</w:t>
      </w:r>
      <w:r>
        <w:rPr>
          <w:rFonts w:ascii="Times New Roman" w:hAnsi="Times New Roman" w:eastAsia="仿宋_GB2312" w:cs="仿宋_GB2312"/>
          <w:color w:val="000000"/>
          <w:sz w:val="28"/>
          <w:szCs w:val="28"/>
        </w:rPr>
        <w:t>—</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楷体_GB2312" w:cs="楷体_GB2312"/>
          <w:color w:val="000000"/>
          <w:sz w:val="31"/>
          <w:szCs w:val="31"/>
        </w:rPr>
        <w:t>（一）项目管理情况。</w:t>
      </w:r>
      <w:r>
        <w:rPr>
          <w:rFonts w:ascii="Times New Roman" w:hAnsi="Times New Roman" w:eastAsia="仿宋_GB2312" w:cs="仿宋_GB2312"/>
          <w:color w:val="000000"/>
          <w:sz w:val="31"/>
          <w:szCs w:val="31"/>
        </w:rPr>
        <w:t>按照项目实施前有方案、实施中有监督检查、完成后有总结验收的管理要求，对项目管理情况进行考核。主要包括项目实施方案制定、招投标管理、资金管理、档案管理、项目总结验收等方面。</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楷体_GB2312" w:cs="楷体_GB2312"/>
          <w:color w:val="000000"/>
          <w:sz w:val="31"/>
          <w:szCs w:val="31"/>
        </w:rPr>
        <w:t>（二）项目任务指标落实及完成情况。</w:t>
      </w:r>
      <w:r>
        <w:rPr>
          <w:rFonts w:ascii="Times New Roman" w:hAnsi="Times New Roman" w:eastAsia="仿宋_GB2312" w:cs="仿宋_GB2312"/>
          <w:color w:val="000000"/>
          <w:sz w:val="31"/>
          <w:szCs w:val="31"/>
        </w:rPr>
        <w:t>农业农村主管部门要按照《</w:t>
      </w:r>
      <w:r>
        <w:rPr>
          <w:rFonts w:ascii="Times New Roman" w:hAnsi="Times New Roman" w:eastAsia="TimesNewRomanPSMT" w:cs="TimesNewRomanPSMT"/>
          <w:color w:val="000000"/>
          <w:sz w:val="31"/>
          <w:szCs w:val="31"/>
        </w:rPr>
        <w:t>2023</w:t>
      </w:r>
      <w:r>
        <w:rPr>
          <w:rFonts w:ascii="Times New Roman" w:hAnsi="Times New Roman" w:eastAsia="仿宋_GB2312" w:cs="仿宋_GB2312"/>
          <w:color w:val="000000"/>
          <w:sz w:val="31"/>
          <w:szCs w:val="31"/>
        </w:rPr>
        <w:t>年农业生产救灾资金实施方案》要求，抓好项目任务的落实，完成项目实施方案、总结报告、绩效报告等，报自治区农业农村厅种植业管理处备案。</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楷体_GB2312" w:cs="楷体_GB2312"/>
          <w:color w:val="000000"/>
          <w:sz w:val="31"/>
          <w:szCs w:val="31"/>
        </w:rPr>
        <w:t>（三）项目效果评价情况。</w:t>
      </w:r>
      <w:r>
        <w:rPr>
          <w:rFonts w:ascii="Times New Roman" w:hAnsi="Times New Roman" w:eastAsia="仿宋_GB2312" w:cs="仿宋_GB2312"/>
          <w:color w:val="000000"/>
          <w:sz w:val="31"/>
          <w:szCs w:val="31"/>
        </w:rPr>
        <w:t>项目实施后，农业农村主管部门要做好防灾减灾效果评估，对项目实施效果进行总结评价，加强项目绩效管理，于</w:t>
      </w:r>
      <w:r>
        <w:rPr>
          <w:rFonts w:hint="default" w:ascii="Times New Roman" w:hAnsi="Times New Roman" w:cs="Calibri"/>
          <w:color w:val="000000"/>
          <w:sz w:val="31"/>
          <w:szCs w:val="31"/>
        </w:rPr>
        <w:t>12</w:t>
      </w:r>
      <w:r>
        <w:rPr>
          <w:rFonts w:ascii="Times New Roman" w:hAnsi="Times New Roman" w:eastAsia="仿宋_GB2312" w:cs="仿宋_GB2312"/>
          <w:color w:val="000000"/>
          <w:sz w:val="31"/>
          <w:szCs w:val="31"/>
        </w:rPr>
        <w:t>月</w:t>
      </w:r>
      <w:r>
        <w:rPr>
          <w:rFonts w:hint="default" w:ascii="Times New Roman" w:hAnsi="Times New Roman" w:cs="Calibri"/>
          <w:color w:val="000000"/>
          <w:sz w:val="31"/>
          <w:szCs w:val="31"/>
        </w:rPr>
        <w:t>30</w:t>
      </w:r>
      <w:r>
        <w:rPr>
          <w:rFonts w:ascii="Times New Roman" w:hAnsi="Times New Roman" w:eastAsia="仿宋_GB2312" w:cs="仿宋_GB2312"/>
          <w:color w:val="000000"/>
          <w:sz w:val="31"/>
          <w:szCs w:val="31"/>
        </w:rPr>
        <w:t>日前将项目总结报告及绩效自评报告报农业农村厅种植业管理处备案。</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黑体" w:cs="黑体"/>
          <w:color w:val="000000"/>
          <w:sz w:val="31"/>
          <w:szCs w:val="31"/>
        </w:rPr>
        <w:t>五、评分标准</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仿宋_GB2312" w:cs="仿宋_GB2312"/>
          <w:color w:val="000000"/>
          <w:sz w:val="31"/>
          <w:szCs w:val="31"/>
        </w:rPr>
        <w:t>采用百分制考核，其中：项目管理情况</w:t>
      </w:r>
      <w:r>
        <w:rPr>
          <w:rFonts w:hint="default" w:ascii="Times New Roman" w:hAnsi="Times New Roman" w:eastAsia="TimesNewRomanPSMT" w:cs="TimesNewRomanPSMT"/>
          <w:color w:val="000000"/>
          <w:sz w:val="31"/>
          <w:szCs w:val="31"/>
        </w:rPr>
        <w:t>30</w:t>
      </w:r>
      <w:r>
        <w:rPr>
          <w:rFonts w:ascii="Times New Roman" w:hAnsi="Times New Roman" w:eastAsia="仿宋_GB2312" w:cs="仿宋_GB2312"/>
          <w:color w:val="000000"/>
          <w:sz w:val="31"/>
          <w:szCs w:val="31"/>
        </w:rPr>
        <w:t>分，项目绩效</w:t>
      </w:r>
      <w:r>
        <w:rPr>
          <w:rFonts w:hint="default" w:ascii="Times New Roman" w:hAnsi="Times New Roman" w:eastAsia="TimesNewRomanPSMT" w:cs="TimesNewRomanPSMT"/>
          <w:color w:val="000000"/>
          <w:sz w:val="31"/>
          <w:szCs w:val="31"/>
        </w:rPr>
        <w:t>70</w:t>
      </w:r>
      <w:r>
        <w:rPr>
          <w:rFonts w:ascii="Times New Roman" w:hAnsi="Times New Roman" w:eastAsia="仿宋_GB2312" w:cs="仿宋_GB2312"/>
          <w:color w:val="000000"/>
          <w:sz w:val="31"/>
          <w:szCs w:val="31"/>
        </w:rPr>
        <w:t>分，详细评分标准见附表</w:t>
      </w:r>
      <w:r>
        <w:rPr>
          <w:rFonts w:hint="default" w:ascii="Times New Roman" w:hAnsi="Times New Roman" w:eastAsia="TimesNewRomanPSMT" w:cs="TimesNewRomanPSMT"/>
          <w:color w:val="000000"/>
          <w:sz w:val="31"/>
          <w:szCs w:val="31"/>
        </w:rPr>
        <w:t>1</w:t>
      </w:r>
      <w:r>
        <w:rPr>
          <w:rFonts w:ascii="Times New Roman" w:hAnsi="Times New Roman" w:eastAsia="仿宋_GB2312" w:cs="仿宋_GB2312"/>
          <w:color w:val="000000"/>
          <w:sz w:val="31"/>
          <w:szCs w:val="31"/>
        </w:rPr>
        <w:t>。</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黑体" w:cs="黑体"/>
          <w:color w:val="000000"/>
          <w:sz w:val="31"/>
          <w:szCs w:val="31"/>
        </w:rPr>
        <w:t>六、考核方式</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仿宋_GB2312" w:cs="仿宋_GB2312"/>
          <w:b/>
          <w:bCs/>
          <w:color w:val="000000"/>
          <w:sz w:val="31"/>
          <w:szCs w:val="31"/>
        </w:rPr>
        <w:t>县级自验</w:t>
      </w:r>
      <w:r>
        <w:rPr>
          <w:rFonts w:ascii="Times New Roman" w:hAnsi="Times New Roman" w:eastAsia="仿宋_GB2312" w:cs="仿宋_GB2312"/>
          <w:color w:val="000000"/>
          <w:sz w:val="31"/>
          <w:szCs w:val="31"/>
        </w:rPr>
        <w:t>：项目完成之后，县级组织有关部门和技术力量开展项目自查自验和绩效自评，形成自验报告和绩效评价报告并按时报送农牧厅种植业管理处、规划财务处。</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仿宋_GB2312" w:cs="仿宋_GB2312"/>
          <w:b/>
          <w:bCs/>
          <w:color w:val="000000"/>
          <w:sz w:val="31"/>
          <w:szCs w:val="31"/>
        </w:rPr>
        <w:t>区级考核</w:t>
      </w:r>
      <w:r>
        <w:rPr>
          <w:rFonts w:ascii="Times New Roman" w:hAnsi="Times New Roman" w:eastAsia="仿宋_GB2312" w:cs="仿宋_GB2312"/>
          <w:color w:val="000000"/>
          <w:sz w:val="31"/>
          <w:szCs w:val="31"/>
        </w:rPr>
        <w:t>：在收到县级自验报告和绩效评价报告后，自治区农业农村厅将组织有关部门、技术、财务专家组成督查小组，</w:t>
      </w:r>
    </w:p>
    <w:p>
      <w:pPr>
        <w:keepNext w:val="0"/>
        <w:keepLines w:val="0"/>
        <w:pageBreakBefore w:val="0"/>
        <w:widowControl/>
        <w:suppressLineNumbers w:val="0"/>
        <w:kinsoku/>
        <w:wordWrap/>
        <w:overflowPunct/>
        <w:topLinePunct w:val="0"/>
        <w:bidi w:val="0"/>
        <w:spacing w:line="560" w:lineRule="exact"/>
        <w:ind w:left="0" w:leftChars="0" w:firstLine="640"/>
        <w:jc w:val="right"/>
        <w:rPr>
          <w:rFonts w:ascii="Times New Roman" w:hAnsi="Times New Roman"/>
        </w:rPr>
      </w:pPr>
      <w:r>
        <w:rPr>
          <w:rFonts w:ascii="Times New Roman" w:hAnsi="Times New Roman" w:eastAsia="仿宋_GB2312" w:cs="仿宋_GB2312"/>
          <w:color w:val="000000"/>
          <w:kern w:val="0"/>
          <w:sz w:val="28"/>
          <w:szCs w:val="28"/>
          <w:lang w:val="en-US" w:eastAsia="zh-CN" w:bidi="ar"/>
        </w:rPr>
        <w:t>—</w:t>
      </w:r>
      <w:r>
        <w:rPr>
          <w:rFonts w:ascii="Times New Roman" w:hAnsi="Times New Roman" w:eastAsia="宋体" w:cs="宋体"/>
          <w:color w:val="000000"/>
          <w:kern w:val="0"/>
          <w:sz w:val="28"/>
          <w:szCs w:val="28"/>
          <w:lang w:val="en-US" w:eastAsia="zh-CN" w:bidi="ar"/>
        </w:rPr>
        <w:t>7</w:t>
      </w:r>
      <w:r>
        <w:rPr>
          <w:rFonts w:ascii="Times New Roman" w:hAnsi="Times New Roman" w:eastAsia="仿宋_GB2312" w:cs="仿宋_GB2312"/>
          <w:color w:val="000000"/>
          <w:kern w:val="0"/>
          <w:sz w:val="28"/>
          <w:szCs w:val="28"/>
          <w:lang w:val="en-US" w:eastAsia="zh-CN" w:bidi="ar"/>
        </w:rPr>
        <w:t>—</w:t>
      </w:r>
    </w:p>
    <w:p>
      <w:pPr>
        <w:pStyle w:val="6"/>
        <w:keepNext w:val="0"/>
        <w:keepLines w:val="0"/>
        <w:pageBreakBefore w:val="0"/>
        <w:widowControl/>
        <w:suppressLineNumbers w:val="0"/>
        <w:kinsoku/>
        <w:wordWrap/>
        <w:overflowPunct/>
        <w:topLinePunct w:val="0"/>
        <w:bidi w:val="0"/>
        <w:spacing w:line="560" w:lineRule="exact"/>
        <w:ind w:left="0" w:leftChars="0"/>
        <w:rPr>
          <w:rFonts w:ascii="Times New Roman" w:hAnsi="Times New Roman"/>
        </w:rPr>
      </w:pPr>
      <w:r>
        <w:rPr>
          <w:rFonts w:ascii="Times New Roman" w:hAnsi="Times New Roman" w:eastAsia="仿宋_GB2312" w:cs="仿宋_GB2312"/>
          <w:color w:val="000000"/>
          <w:sz w:val="31"/>
          <w:szCs w:val="31"/>
        </w:rPr>
        <w:t>对项目绩效进行督查评价，并形成评价报告。</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黑体" w:cs="黑体"/>
          <w:color w:val="000000"/>
          <w:sz w:val="31"/>
          <w:szCs w:val="31"/>
        </w:rPr>
        <w:t>七、考核结果</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仿宋_GB2312" w:cs="仿宋_GB2312"/>
          <w:color w:val="000000"/>
          <w:sz w:val="31"/>
          <w:szCs w:val="31"/>
        </w:rPr>
        <w:t>一是区级主管部门将视情况对项目验收结果进行公示，并与下年度种植业项目安排挂钩，对项目执行好的单位增加下年度项目资金；对项目执行不到位，项目资金支出违规者，将减少下年度资金安排，并将视情节轻重，予以通报批评并责成整改。</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仿宋_GB2312" w:cs="仿宋_GB2312"/>
          <w:color w:val="000000"/>
          <w:sz w:val="31"/>
          <w:szCs w:val="31"/>
        </w:rPr>
        <w:t>二是项目执行严重偏离要求，或出现重大技术事故，严重违反财经纪律要求者，将对项目负责人进行严肃问责。</w:t>
      </w: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eastAsia="仿宋_GB2312" w:cs="仿宋_GB2312"/>
          <w:color w:val="000000"/>
          <w:sz w:val="31"/>
          <w:szCs w:val="31"/>
        </w:rPr>
      </w:pP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eastAsia="仿宋_GB2312" w:cs="仿宋_GB2312"/>
          <w:color w:val="000000"/>
          <w:sz w:val="31"/>
          <w:szCs w:val="31"/>
        </w:rPr>
      </w:pPr>
    </w:p>
    <w:p>
      <w:pPr>
        <w:pStyle w:val="6"/>
        <w:keepNext w:val="0"/>
        <w:keepLines w:val="0"/>
        <w:pageBreakBefore w:val="0"/>
        <w:widowControl/>
        <w:suppressLineNumbers w:val="0"/>
        <w:kinsoku/>
        <w:wordWrap/>
        <w:overflowPunct/>
        <w:topLinePunct w:val="0"/>
        <w:bidi w:val="0"/>
        <w:spacing w:line="560" w:lineRule="exact"/>
        <w:ind w:left="0" w:leftChars="0" w:firstLine="640"/>
        <w:rPr>
          <w:rFonts w:ascii="Times New Roman" w:hAnsi="Times New Roman"/>
        </w:rPr>
      </w:pPr>
      <w:r>
        <w:rPr>
          <w:rFonts w:ascii="Times New Roman" w:hAnsi="Times New Roman" w:eastAsia="仿宋_GB2312" w:cs="仿宋_GB2312"/>
          <w:color w:val="000000"/>
          <w:sz w:val="31"/>
          <w:szCs w:val="31"/>
        </w:rPr>
        <w:t>附表：</w:t>
      </w:r>
      <w:r>
        <w:rPr>
          <w:rFonts w:hint="default" w:ascii="Times New Roman" w:hAnsi="Times New Roman" w:eastAsia="TimesNewRomanPSMT" w:cs="TimesNewRomanPSMT"/>
          <w:color w:val="000000"/>
          <w:sz w:val="31"/>
          <w:szCs w:val="31"/>
        </w:rPr>
        <w:t>2023</w:t>
      </w:r>
      <w:r>
        <w:rPr>
          <w:rFonts w:ascii="Times New Roman" w:hAnsi="Times New Roman" w:eastAsia="仿宋_GB2312" w:cs="仿宋_GB2312"/>
          <w:color w:val="000000"/>
          <w:sz w:val="31"/>
          <w:szCs w:val="31"/>
        </w:rPr>
        <w:t>年农业生产救灾项目绩效考核评分表</w:t>
      </w: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624" w:firstLineChars="200"/>
        <w:rPr>
          <w:rFonts w:hint="default" w:ascii="Times New Roman" w:hAnsi="Times New Roman" w:eastAsia="仿宋_GB2312" w:cs="仿宋_GB2312"/>
          <w:color w:val="000000"/>
          <w:spacing w:val="-4"/>
          <w:kern w:val="0"/>
          <w:sz w:val="32"/>
          <w:szCs w:val="32"/>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default" w:ascii="Times New Roman" w:hAnsi="Times New Roman" w:eastAsia="仿宋_GB2312" w:cs="仿宋_GB2312"/>
          <w:color w:val="000000"/>
          <w:spacing w:val="-4"/>
          <w:kern w:val="0"/>
          <w:sz w:val="32"/>
          <w:szCs w:val="32"/>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default" w:ascii="Times New Roman" w:hAnsi="Times New Roman" w:eastAsia="仿宋_GB2312" w:cs="仿宋_GB2312"/>
          <w:color w:val="000000"/>
          <w:spacing w:val="-4"/>
          <w:kern w:val="0"/>
          <w:sz w:val="32"/>
          <w:szCs w:val="32"/>
          <w:lang w:val="en-US" w:eastAsia="zh-CN" w:bidi="en-US"/>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default" w:ascii="Times New Roman" w:hAnsi="Times New Roman" w:eastAsia="仿宋_GB2312" w:cs="仿宋_GB2312"/>
          <w:color w:val="000000"/>
          <w:spacing w:val="-4"/>
          <w:kern w:val="0"/>
          <w:sz w:val="32"/>
          <w:szCs w:val="32"/>
          <w:lang w:val="en-US" w:eastAsia="zh-CN" w:bidi="en-US"/>
        </w:rPr>
        <w:sectPr>
          <w:pgSz w:w="11906" w:h="16838"/>
          <w:pgMar w:top="1440" w:right="1800" w:bottom="1440" w:left="1800" w:header="851" w:footer="992" w:gutter="0"/>
          <w:cols w:space="425" w:num="1"/>
          <w:docGrid w:type="lines" w:linePitch="312" w:charSpace="0"/>
        </w:sectPr>
      </w:pPr>
    </w:p>
    <w:p>
      <w:pPr>
        <w:pStyle w:val="14"/>
        <w:pageBreakBefore w:val="0"/>
        <w:kinsoku/>
        <w:wordWrap/>
        <w:overflowPunct/>
        <w:topLinePunct w:val="0"/>
        <w:bidi w:val="0"/>
        <w:spacing w:line="560" w:lineRule="exact"/>
        <w:ind w:left="0" w:leftChars="0"/>
        <w:rPr>
          <w:rFonts w:hint="eastAsia" w:ascii="Times New Roman" w:hAnsi="Times New Roman" w:eastAsia="黑体" w:cs="黑体"/>
          <w:b w:val="0"/>
          <w:bCs w:val="0"/>
          <w:sz w:val="28"/>
          <w:szCs w:val="28"/>
          <w:lang w:val="en-US" w:eastAsia="zh-CN"/>
        </w:rPr>
      </w:pPr>
      <w:r>
        <w:rPr>
          <w:rFonts w:hint="eastAsia" w:ascii="Times New Roman" w:hAnsi="Times New Roman" w:eastAsia="黑体" w:cs="黑体"/>
          <w:b w:val="0"/>
          <w:bCs w:val="0"/>
          <w:color w:val="000000"/>
          <w:sz w:val="28"/>
          <w:szCs w:val="28"/>
          <w:lang w:val="zh-TW" w:eastAsia="zh-TW" w:bidi="zh-TW"/>
        </w:rPr>
        <w:t>附表</w:t>
      </w:r>
      <w:r>
        <w:rPr>
          <w:rFonts w:hint="eastAsia" w:ascii="Times New Roman" w:hAnsi="Times New Roman" w:eastAsia="黑体" w:cs="黑体"/>
          <w:b w:val="0"/>
          <w:bCs w:val="0"/>
          <w:color w:val="000000"/>
          <w:sz w:val="28"/>
          <w:szCs w:val="28"/>
          <w:lang w:val="en-US" w:eastAsia="zh-CN" w:bidi="zh-TW"/>
        </w:rPr>
        <w:t>2</w:t>
      </w:r>
    </w:p>
    <w:p>
      <w:pPr>
        <w:pStyle w:val="11"/>
        <w:keepNext/>
        <w:keepLines/>
        <w:pageBreakBefore w:val="0"/>
        <w:kinsoku/>
        <w:wordWrap/>
        <w:overflowPunct/>
        <w:topLinePunct w:val="0"/>
        <w:bidi w:val="0"/>
        <w:spacing w:after="0" w:line="560" w:lineRule="exact"/>
        <w:ind w:left="0" w:leftChars="0"/>
        <w:rPr>
          <w:rFonts w:hint="eastAsia" w:ascii="Times New Roman" w:hAnsi="Times New Roman" w:eastAsia="方正小标宋_GBK" w:cs="方正小标宋_GBK"/>
          <w:sz w:val="44"/>
          <w:szCs w:val="44"/>
        </w:rPr>
      </w:pPr>
      <w:bookmarkStart w:id="0" w:name="bookmark43"/>
      <w:bookmarkStart w:id="1" w:name="bookmark44"/>
      <w:bookmarkStart w:id="2" w:name="bookmark45"/>
      <w:r>
        <w:rPr>
          <w:rFonts w:hint="eastAsia" w:ascii="Times New Roman" w:hAnsi="Times New Roman" w:eastAsia="方正小标宋_GBK" w:cs="方正小标宋_GBK"/>
          <w:b/>
          <w:bCs/>
          <w:color w:val="000000"/>
          <w:sz w:val="44"/>
          <w:szCs w:val="44"/>
        </w:rPr>
        <w:t>202</w:t>
      </w:r>
      <w:r>
        <w:rPr>
          <w:rFonts w:hint="eastAsia" w:ascii="Times New Roman" w:hAnsi="Times New Roman" w:eastAsia="方正小标宋_GBK" w:cs="方正小标宋_GBK"/>
          <w:b/>
          <w:bCs/>
          <w:color w:val="000000"/>
          <w:sz w:val="44"/>
          <w:szCs w:val="44"/>
          <w:lang w:val="en-US" w:eastAsia="zh-CN"/>
        </w:rPr>
        <w:t>3</w:t>
      </w:r>
      <w:r>
        <w:rPr>
          <w:rFonts w:hint="eastAsia" w:ascii="Times New Roman" w:hAnsi="Times New Roman" w:eastAsia="方正小标宋_GBK" w:cs="方正小标宋_GBK"/>
          <w:color w:val="000000"/>
          <w:sz w:val="44"/>
          <w:szCs w:val="44"/>
        </w:rPr>
        <w:t>年农业生产和水利救灾资金绩效</w:t>
      </w:r>
      <w:r>
        <w:rPr>
          <w:rFonts w:hint="eastAsia" w:ascii="Times New Roman" w:hAnsi="Times New Roman" w:eastAsia="方正小标宋_GBK" w:cs="方正小标宋_GBK"/>
          <w:color w:val="000000"/>
          <w:sz w:val="44"/>
          <w:szCs w:val="44"/>
          <w:lang w:val="en-US" w:eastAsia="zh-CN"/>
        </w:rPr>
        <w:t>考核</w:t>
      </w:r>
      <w:r>
        <w:rPr>
          <w:rFonts w:hint="eastAsia" w:ascii="Times New Roman" w:hAnsi="Times New Roman" w:eastAsia="方正小标宋_GBK" w:cs="方正小标宋_GBK"/>
          <w:color w:val="000000"/>
          <w:sz w:val="44"/>
          <w:szCs w:val="44"/>
        </w:rPr>
        <w:t>评分表</w:t>
      </w:r>
      <w:bookmarkEnd w:id="0"/>
      <w:bookmarkEnd w:id="1"/>
      <w:bookmarkEnd w:id="2"/>
    </w:p>
    <w:tbl>
      <w:tblPr>
        <w:tblStyle w:val="8"/>
        <w:tblW w:w="14045" w:type="dxa"/>
        <w:jc w:val="center"/>
        <w:tblLayout w:type="fixed"/>
        <w:tblCellMar>
          <w:top w:w="0" w:type="dxa"/>
          <w:left w:w="10" w:type="dxa"/>
          <w:bottom w:w="0" w:type="dxa"/>
          <w:right w:w="10" w:type="dxa"/>
        </w:tblCellMar>
      </w:tblPr>
      <w:tblGrid>
        <w:gridCol w:w="1123"/>
        <w:gridCol w:w="1142"/>
        <w:gridCol w:w="1094"/>
        <w:gridCol w:w="4061"/>
        <w:gridCol w:w="922"/>
        <w:gridCol w:w="557"/>
        <w:gridCol w:w="154"/>
        <w:gridCol w:w="954"/>
        <w:gridCol w:w="3308"/>
        <w:gridCol w:w="730"/>
      </w:tblGrid>
      <w:tr>
        <w:tblPrEx>
          <w:tblCellMar>
            <w:top w:w="0" w:type="dxa"/>
            <w:left w:w="10" w:type="dxa"/>
            <w:bottom w:w="0" w:type="dxa"/>
            <w:right w:w="10" w:type="dxa"/>
          </w:tblCellMar>
        </w:tblPrEx>
        <w:trPr>
          <w:trHeight w:val="470" w:hRule="exact"/>
          <w:jc w:val="center"/>
        </w:trPr>
        <w:tc>
          <w:tcPr>
            <w:tcW w:w="3359" w:type="dxa"/>
            <w:gridSpan w:val="3"/>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项目名称</w:t>
            </w:r>
          </w:p>
        </w:tc>
        <w:tc>
          <w:tcPr>
            <w:tcW w:w="10686" w:type="dxa"/>
            <w:gridSpan w:val="7"/>
            <w:tcBorders>
              <w:top w:val="single" w:color="auto" w:sz="4" w:space="0"/>
              <w:left w:val="single" w:color="auto" w:sz="4" w:space="0"/>
              <w:righ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r>
              <w:rPr>
                <w:rFonts w:hint="eastAsia" w:ascii="Times New Roman" w:hAnsi="Times New Roman" w:eastAsia="仿宋_GB2312" w:cs="仿宋_GB2312"/>
                <w:color w:val="000000"/>
                <w:sz w:val="19"/>
                <w:szCs w:val="19"/>
              </w:rPr>
              <w:t>202</w:t>
            </w:r>
            <w:r>
              <w:rPr>
                <w:rFonts w:hint="eastAsia" w:ascii="Times New Roman" w:hAnsi="Times New Roman" w:eastAsia="仿宋_GB2312" w:cs="仿宋_GB2312"/>
                <w:color w:val="000000"/>
                <w:sz w:val="19"/>
                <w:szCs w:val="19"/>
                <w:lang w:val="en-US" w:eastAsia="zh-CN"/>
              </w:rPr>
              <w:t>3</w:t>
            </w:r>
            <w:r>
              <w:rPr>
                <w:rFonts w:hint="eastAsia" w:ascii="Times New Roman" w:hAnsi="Times New Roman" w:eastAsia="仿宋_GB2312" w:cs="仿宋_GB2312"/>
                <w:color w:val="000000"/>
                <w:sz w:val="17"/>
                <w:szCs w:val="17"/>
              </w:rPr>
              <w:t>年农业生产救灾资金项目</w:t>
            </w:r>
          </w:p>
        </w:tc>
      </w:tr>
      <w:tr>
        <w:tblPrEx>
          <w:tblCellMar>
            <w:top w:w="0" w:type="dxa"/>
            <w:left w:w="10" w:type="dxa"/>
            <w:bottom w:w="0" w:type="dxa"/>
            <w:right w:w="10" w:type="dxa"/>
          </w:tblCellMar>
        </w:tblPrEx>
        <w:trPr>
          <w:trHeight w:val="336" w:hRule="exact"/>
          <w:jc w:val="center"/>
        </w:trPr>
        <w:tc>
          <w:tcPr>
            <w:tcW w:w="3359" w:type="dxa"/>
            <w:gridSpan w:val="3"/>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p>
        </w:tc>
        <w:tc>
          <w:tcPr>
            <w:tcW w:w="10686" w:type="dxa"/>
            <w:gridSpan w:val="7"/>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p>
        </w:tc>
      </w:tr>
      <w:tr>
        <w:tblPrEx>
          <w:tblCellMar>
            <w:top w:w="0" w:type="dxa"/>
            <w:left w:w="10" w:type="dxa"/>
            <w:bottom w:w="0" w:type="dxa"/>
            <w:right w:w="10" w:type="dxa"/>
          </w:tblCellMar>
        </w:tblPrEx>
        <w:trPr>
          <w:trHeight w:val="509" w:hRule="exact"/>
          <w:jc w:val="center"/>
        </w:trPr>
        <w:tc>
          <w:tcPr>
            <w:tcW w:w="3359" w:type="dxa"/>
            <w:gridSpan w:val="3"/>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农业农村厅主管部门</w:t>
            </w:r>
          </w:p>
        </w:tc>
        <w:tc>
          <w:tcPr>
            <w:tcW w:w="5540" w:type="dxa"/>
            <w:gridSpan w:val="3"/>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农业农村厅</w:t>
            </w:r>
            <w:r>
              <w:rPr>
                <w:rFonts w:hint="eastAsia" w:ascii="Times New Roman" w:hAnsi="Times New Roman" w:eastAsia="仿宋_GB2312" w:cs="仿宋_GB2312"/>
                <w:color w:val="000000"/>
                <w:sz w:val="17"/>
                <w:szCs w:val="17"/>
                <w:lang w:eastAsia="zh-CN"/>
              </w:rPr>
              <w:t>种植业</w:t>
            </w:r>
            <w:r>
              <w:rPr>
                <w:rFonts w:hint="eastAsia" w:ascii="Times New Roman" w:hAnsi="Times New Roman" w:eastAsia="仿宋_GB2312" w:cs="仿宋_GB2312"/>
                <w:color w:val="000000"/>
                <w:sz w:val="17"/>
                <w:szCs w:val="17"/>
              </w:rPr>
              <w:t>管理处</w:t>
            </w:r>
          </w:p>
        </w:tc>
        <w:tc>
          <w:tcPr>
            <w:tcW w:w="1108" w:type="dxa"/>
            <w:gridSpan w:val="2"/>
            <w:tcBorders>
              <w:top w:val="single" w:color="auto" w:sz="4" w:space="0"/>
              <w:left w:val="single" w:color="auto" w:sz="4" w:space="0"/>
              <w:right w:val="single" w:color="auto" w:sz="4" w:space="0"/>
            </w:tcBorders>
            <w:shd w:val="clear" w:color="auto" w:fill="FFFFFF"/>
            <w:vAlign w:val="center"/>
          </w:tcPr>
          <w:p>
            <w:pPr>
              <w:pStyle w:val="13"/>
              <w:pageBreakBefore w:val="0"/>
              <w:tabs>
                <w:tab w:val="left" w:pos="1085"/>
              </w:tabs>
              <w:kinsoku/>
              <w:wordWrap/>
              <w:overflowPunct/>
              <w:topLinePunct w:val="0"/>
              <w:bidi w:val="0"/>
              <w:spacing w:line="560" w:lineRule="exact"/>
              <w:ind w:left="0" w:leftChars="0" w:firstLine="0"/>
              <w:rPr>
                <w:rFonts w:ascii="Times New Roman" w:hAnsi="Times New Roman" w:eastAsia="仿宋_GB2312" w:cs="仿宋_GB2312"/>
                <w:sz w:val="19"/>
                <w:szCs w:val="19"/>
                <w:lang w:eastAsia="zh-CN"/>
              </w:rPr>
            </w:pPr>
            <w:r>
              <w:rPr>
                <w:rFonts w:hint="eastAsia" w:ascii="Times New Roman" w:hAnsi="Times New Roman" w:eastAsia="仿宋_GB2312" w:cs="仿宋_GB2312"/>
                <w:color w:val="000000"/>
                <w:sz w:val="17"/>
                <w:szCs w:val="17"/>
              </w:rPr>
              <w:t>实施单位</w:t>
            </w:r>
          </w:p>
        </w:tc>
        <w:tc>
          <w:tcPr>
            <w:tcW w:w="4038" w:type="dxa"/>
            <w:gridSpan w:val="2"/>
            <w:tcBorders>
              <w:top w:val="single" w:color="auto" w:sz="4" w:space="0"/>
              <w:left w:val="single" w:color="auto" w:sz="4" w:space="0"/>
              <w:right w:val="single" w:color="auto" w:sz="4" w:space="0"/>
            </w:tcBorders>
            <w:shd w:val="clear" w:color="auto" w:fill="FFFFFF"/>
            <w:vAlign w:val="center"/>
          </w:tcPr>
          <w:p>
            <w:pPr>
              <w:pStyle w:val="13"/>
              <w:pageBreakBefore w:val="0"/>
              <w:tabs>
                <w:tab w:val="left" w:pos="1085"/>
              </w:tabs>
              <w:kinsoku/>
              <w:wordWrap/>
              <w:overflowPunct/>
              <w:topLinePunct w:val="0"/>
              <w:bidi w:val="0"/>
              <w:spacing w:line="560" w:lineRule="exact"/>
              <w:ind w:left="0" w:leftChars="0" w:firstLine="0"/>
              <w:rPr>
                <w:rFonts w:hint="default" w:ascii="Times New Roman" w:hAnsi="Times New Roman" w:eastAsia="仿宋_GB2312" w:cs="仿宋_GB2312"/>
                <w:sz w:val="17"/>
                <w:szCs w:val="17"/>
                <w:lang w:val="en-US" w:eastAsia="zh-CN"/>
              </w:rPr>
            </w:pPr>
            <w:r>
              <w:rPr>
                <w:rFonts w:hint="eastAsia" w:ascii="Times New Roman" w:hAnsi="Times New Roman" w:eastAsia="仿宋_GB2312" w:cs="仿宋_GB2312"/>
                <w:color w:val="000000"/>
                <w:sz w:val="17"/>
                <w:szCs w:val="17"/>
                <w:lang w:val="en-US" w:eastAsia="zh-CN"/>
              </w:rPr>
              <w:t>海原县</w:t>
            </w:r>
            <w:r>
              <w:rPr>
                <w:rFonts w:hint="eastAsia" w:ascii="Times New Roman" w:hAnsi="Times New Roman" w:eastAsia="仿宋_GB2312" w:cs="仿宋_GB2312"/>
                <w:color w:val="000000"/>
                <w:sz w:val="17"/>
                <w:szCs w:val="17"/>
              </w:rPr>
              <w:t>农业</w:t>
            </w:r>
            <w:r>
              <w:rPr>
                <w:rFonts w:hint="eastAsia" w:ascii="Times New Roman" w:hAnsi="Times New Roman" w:eastAsia="仿宋_GB2312" w:cs="仿宋_GB2312"/>
                <w:color w:val="000000"/>
                <w:sz w:val="17"/>
                <w:szCs w:val="17"/>
                <w:lang w:val="en-US" w:eastAsia="zh-CN"/>
              </w:rPr>
              <w:t>农村局</w:t>
            </w:r>
          </w:p>
        </w:tc>
      </w:tr>
      <w:tr>
        <w:tblPrEx>
          <w:tblCellMar>
            <w:top w:w="0" w:type="dxa"/>
            <w:left w:w="10" w:type="dxa"/>
            <w:bottom w:w="0" w:type="dxa"/>
            <w:right w:w="10" w:type="dxa"/>
          </w:tblCellMar>
        </w:tblPrEx>
        <w:trPr>
          <w:trHeight w:val="509" w:hRule="exact"/>
          <w:jc w:val="center"/>
        </w:trPr>
        <w:tc>
          <w:tcPr>
            <w:tcW w:w="3359" w:type="dxa"/>
            <w:gridSpan w:val="3"/>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hint="default" w:ascii="Times New Roman" w:hAnsi="Times New Roman" w:eastAsia="仿宋_GB2312" w:cs="仿宋_GB2312"/>
                <w:color w:val="000000"/>
                <w:sz w:val="17"/>
                <w:szCs w:val="17"/>
                <w:lang w:val="en-US" w:eastAsia="zh-CN"/>
              </w:rPr>
            </w:pPr>
            <w:r>
              <w:rPr>
                <w:rFonts w:hint="eastAsia" w:ascii="Times New Roman" w:hAnsi="Times New Roman" w:eastAsia="仿宋_GB2312" w:cs="仿宋_GB2312"/>
                <w:color w:val="000000"/>
                <w:sz w:val="17"/>
                <w:szCs w:val="17"/>
                <w:lang w:val="en-US" w:eastAsia="zh-CN"/>
              </w:rPr>
              <w:t>项目资金</w:t>
            </w:r>
          </w:p>
        </w:tc>
        <w:tc>
          <w:tcPr>
            <w:tcW w:w="5540" w:type="dxa"/>
            <w:gridSpan w:val="3"/>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rPr>
                <w:rFonts w:hint="default" w:ascii="Times New Roman" w:hAnsi="Times New Roman" w:eastAsia="仿宋_GB2312" w:cs="仿宋_GB2312"/>
                <w:color w:val="000000"/>
                <w:sz w:val="17"/>
                <w:szCs w:val="17"/>
                <w:lang w:val="en-US" w:eastAsia="zh-CN"/>
              </w:rPr>
            </w:pPr>
            <w:r>
              <w:rPr>
                <w:rFonts w:hint="eastAsia" w:ascii="Times New Roman" w:hAnsi="Times New Roman" w:eastAsia="仿宋_GB2312" w:cs="仿宋_GB2312"/>
                <w:color w:val="000000"/>
                <w:sz w:val="17"/>
                <w:szCs w:val="17"/>
                <w:lang w:val="en-US" w:eastAsia="zh-CN"/>
              </w:rPr>
              <w:t>120万元</w:t>
            </w:r>
          </w:p>
        </w:tc>
        <w:tc>
          <w:tcPr>
            <w:tcW w:w="1108" w:type="dxa"/>
            <w:gridSpan w:val="2"/>
            <w:tcBorders>
              <w:top w:val="single" w:color="auto" w:sz="4" w:space="0"/>
              <w:left w:val="single" w:color="auto" w:sz="4" w:space="0"/>
              <w:right w:val="single" w:color="auto" w:sz="4" w:space="0"/>
            </w:tcBorders>
            <w:shd w:val="clear" w:color="auto" w:fill="FFFFFF"/>
            <w:vAlign w:val="center"/>
          </w:tcPr>
          <w:p>
            <w:pPr>
              <w:pStyle w:val="13"/>
              <w:pageBreakBefore w:val="0"/>
              <w:tabs>
                <w:tab w:val="left" w:pos="1085"/>
              </w:tabs>
              <w:kinsoku/>
              <w:wordWrap/>
              <w:overflowPunct/>
              <w:topLinePunct w:val="0"/>
              <w:bidi w:val="0"/>
              <w:spacing w:line="560" w:lineRule="exact"/>
              <w:ind w:left="0" w:leftChars="0" w:firstLine="0"/>
              <w:rPr>
                <w:rFonts w:hint="eastAsia" w:ascii="Times New Roman" w:hAnsi="Times New Roman" w:eastAsia="仿宋_GB2312" w:cs="仿宋_GB2312"/>
                <w:color w:val="000000"/>
                <w:sz w:val="17"/>
                <w:szCs w:val="17"/>
              </w:rPr>
            </w:pPr>
          </w:p>
        </w:tc>
        <w:tc>
          <w:tcPr>
            <w:tcW w:w="3308" w:type="dxa"/>
            <w:tcBorders>
              <w:top w:val="single" w:color="auto" w:sz="4" w:space="0"/>
              <w:left w:val="single" w:color="auto" w:sz="4" w:space="0"/>
              <w:right w:val="single" w:color="auto" w:sz="4" w:space="0"/>
            </w:tcBorders>
            <w:shd w:val="clear" w:color="auto" w:fill="FFFFFF"/>
            <w:vAlign w:val="center"/>
          </w:tcPr>
          <w:p>
            <w:pPr>
              <w:pStyle w:val="13"/>
              <w:pageBreakBefore w:val="0"/>
              <w:tabs>
                <w:tab w:val="left" w:pos="1085"/>
              </w:tabs>
              <w:kinsoku/>
              <w:wordWrap/>
              <w:overflowPunct/>
              <w:topLinePunct w:val="0"/>
              <w:bidi w:val="0"/>
              <w:spacing w:line="560" w:lineRule="exact"/>
              <w:ind w:left="0" w:leftChars="0" w:firstLine="0"/>
              <w:rPr>
                <w:rFonts w:hint="eastAsia" w:ascii="Times New Roman" w:hAnsi="Times New Roman" w:eastAsia="仿宋_GB2312" w:cs="仿宋_GB2312"/>
                <w:color w:val="000000"/>
                <w:sz w:val="17"/>
                <w:szCs w:val="17"/>
                <w:lang w:val="en-US" w:eastAsia="zh-CN"/>
              </w:rPr>
            </w:pPr>
          </w:p>
        </w:tc>
        <w:tc>
          <w:tcPr>
            <w:tcW w:w="730" w:type="dxa"/>
            <w:tcBorders>
              <w:top w:val="single" w:color="auto" w:sz="4" w:space="0"/>
              <w:left w:val="single" w:color="auto" w:sz="4" w:space="0"/>
              <w:right w:val="single" w:color="auto" w:sz="4" w:space="0"/>
            </w:tcBorders>
            <w:shd w:val="clear" w:color="auto" w:fill="FFFFFF"/>
            <w:vAlign w:val="center"/>
          </w:tcPr>
          <w:p>
            <w:pPr>
              <w:pStyle w:val="13"/>
              <w:pageBreakBefore w:val="0"/>
              <w:tabs>
                <w:tab w:val="left" w:pos="1085"/>
              </w:tabs>
              <w:kinsoku/>
              <w:wordWrap/>
              <w:overflowPunct/>
              <w:topLinePunct w:val="0"/>
              <w:bidi w:val="0"/>
              <w:spacing w:line="560" w:lineRule="exact"/>
              <w:ind w:left="0" w:leftChars="0" w:firstLine="0"/>
              <w:rPr>
                <w:rFonts w:hint="eastAsia" w:ascii="Times New Roman" w:hAnsi="Times New Roman" w:eastAsia="仿宋_GB2312" w:cs="仿宋_GB2312"/>
                <w:color w:val="000000"/>
                <w:sz w:val="17"/>
                <w:szCs w:val="17"/>
                <w:lang w:val="en-US" w:eastAsia="zh-CN"/>
              </w:rPr>
            </w:pPr>
          </w:p>
        </w:tc>
      </w:tr>
      <w:tr>
        <w:tblPrEx>
          <w:tblCellMar>
            <w:top w:w="0" w:type="dxa"/>
            <w:left w:w="10" w:type="dxa"/>
            <w:bottom w:w="0" w:type="dxa"/>
            <w:right w:w="10" w:type="dxa"/>
          </w:tblCellMar>
        </w:tblPrEx>
        <w:trPr>
          <w:trHeight w:val="624" w:hRule="exact"/>
          <w:jc w:val="center"/>
        </w:trPr>
        <w:tc>
          <w:tcPr>
            <w:tcW w:w="3359" w:type="dxa"/>
            <w:gridSpan w:val="3"/>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年度项目总目标</w:t>
            </w:r>
          </w:p>
        </w:tc>
        <w:tc>
          <w:tcPr>
            <w:tcW w:w="10686" w:type="dxa"/>
            <w:gridSpan w:val="7"/>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rPr>
                <w:rFonts w:hint="default" w:ascii="Times New Roman" w:hAnsi="Times New Roman" w:eastAsia="仿宋_GB2312" w:cs="仿宋_GB2312"/>
                <w:sz w:val="17"/>
                <w:szCs w:val="17"/>
                <w:lang w:val="en-US"/>
              </w:rPr>
            </w:pPr>
            <w:r>
              <w:rPr>
                <w:rFonts w:hint="eastAsia" w:ascii="Times New Roman" w:hAnsi="Times New Roman" w:eastAsia="仿宋_GB2312" w:cs="仿宋_GB2312"/>
                <w:color w:val="000000"/>
                <w:sz w:val="17"/>
                <w:szCs w:val="17"/>
                <w:lang w:val="en-US" w:eastAsia="zh-CN"/>
              </w:rPr>
              <w:t>在主要大豆玉米带状复合种植区域开展生产防灾救灾工作，农业灾害损失率控制在5%以内。</w:t>
            </w:r>
          </w:p>
        </w:tc>
      </w:tr>
      <w:tr>
        <w:tblPrEx>
          <w:tblCellMar>
            <w:top w:w="0" w:type="dxa"/>
            <w:left w:w="10" w:type="dxa"/>
            <w:bottom w:w="0" w:type="dxa"/>
            <w:right w:w="10" w:type="dxa"/>
          </w:tblCellMar>
        </w:tblPrEx>
        <w:trPr>
          <w:trHeight w:val="384" w:hRule="exact"/>
          <w:jc w:val="center"/>
        </w:trPr>
        <w:tc>
          <w:tcPr>
            <w:tcW w:w="2265" w:type="dxa"/>
            <w:gridSpan w:val="2"/>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220"/>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项目县（区）年度目标</w:t>
            </w:r>
          </w:p>
        </w:tc>
        <w:tc>
          <w:tcPr>
            <w:tcW w:w="11780" w:type="dxa"/>
            <w:gridSpan w:val="8"/>
            <w:tcBorders>
              <w:top w:val="single" w:color="auto" w:sz="4" w:space="0"/>
              <w:left w:val="single" w:color="auto" w:sz="4" w:space="0"/>
              <w:right w:val="single" w:color="auto" w:sz="4" w:space="0"/>
            </w:tcBorders>
            <w:shd w:val="clear" w:color="auto" w:fill="FFFFFF"/>
            <w:vAlign w:val="top"/>
          </w:tcPr>
          <w:p>
            <w:pPr>
              <w:pageBreakBefore w:val="0"/>
              <w:kinsoku/>
              <w:wordWrap/>
              <w:overflowPunct/>
              <w:topLinePunct w:val="0"/>
              <w:bidi w:val="0"/>
              <w:spacing w:line="560" w:lineRule="exact"/>
              <w:ind w:left="0" w:leftChars="0"/>
              <w:rPr>
                <w:rFonts w:ascii="Times New Roman" w:hAnsi="Times New Roman" w:eastAsia="仿宋_GB2312" w:cs="仿宋_GB2312"/>
                <w:sz w:val="10"/>
                <w:szCs w:val="10"/>
              </w:rPr>
            </w:pPr>
          </w:p>
        </w:tc>
      </w:tr>
      <w:tr>
        <w:tblPrEx>
          <w:tblCellMar>
            <w:top w:w="0" w:type="dxa"/>
            <w:left w:w="10" w:type="dxa"/>
            <w:bottom w:w="0" w:type="dxa"/>
            <w:right w:w="10" w:type="dxa"/>
          </w:tblCellMar>
        </w:tblPrEx>
        <w:trPr>
          <w:trHeight w:val="643" w:hRule="exact"/>
          <w:jc w:val="center"/>
        </w:trPr>
        <w:tc>
          <w:tcPr>
            <w:tcW w:w="1123"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180"/>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一级指标</w:t>
            </w:r>
          </w:p>
        </w:tc>
        <w:tc>
          <w:tcPr>
            <w:tcW w:w="114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180"/>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二级指标</w:t>
            </w:r>
          </w:p>
        </w:tc>
        <w:tc>
          <w:tcPr>
            <w:tcW w:w="1094"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180"/>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三级指标</w:t>
            </w:r>
          </w:p>
        </w:tc>
        <w:tc>
          <w:tcPr>
            <w:tcW w:w="406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考核内容</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目标怛</w:t>
            </w:r>
          </w:p>
        </w:tc>
        <w:tc>
          <w:tcPr>
            <w:tcW w:w="711" w:type="dxa"/>
            <w:gridSpan w:val="2"/>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160"/>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分值</w:t>
            </w:r>
          </w:p>
        </w:tc>
        <w:tc>
          <w:tcPr>
            <w:tcW w:w="4262" w:type="dxa"/>
            <w:gridSpan w:val="2"/>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评分办注</w:t>
            </w:r>
          </w:p>
        </w:tc>
        <w:tc>
          <w:tcPr>
            <w:tcW w:w="730" w:type="dxa"/>
            <w:tcBorders>
              <w:top w:val="single" w:color="auto" w:sz="4" w:space="0"/>
              <w:left w:val="single" w:color="auto" w:sz="4" w:space="0"/>
              <w:right w:val="single" w:color="auto" w:sz="4" w:space="0"/>
            </w:tcBorders>
            <w:shd w:val="clear" w:color="auto" w:fill="FFFFFF"/>
            <w:vAlign w:val="top"/>
          </w:tcPr>
          <w:p>
            <w:pPr>
              <w:pageBreakBefore w:val="0"/>
              <w:kinsoku/>
              <w:wordWrap/>
              <w:overflowPunct/>
              <w:topLinePunct w:val="0"/>
              <w:bidi w:val="0"/>
              <w:spacing w:line="560" w:lineRule="exact"/>
              <w:ind w:left="0" w:leftChars="0"/>
              <w:rPr>
                <w:rFonts w:ascii="Times New Roman" w:hAnsi="Times New Roman" w:eastAsia="仿宋_GB2312" w:cs="仿宋_GB2312"/>
                <w:sz w:val="10"/>
                <w:szCs w:val="10"/>
              </w:rPr>
            </w:pPr>
          </w:p>
        </w:tc>
      </w:tr>
      <w:tr>
        <w:tblPrEx>
          <w:tblCellMar>
            <w:top w:w="0" w:type="dxa"/>
            <w:left w:w="10" w:type="dxa"/>
            <w:bottom w:w="0" w:type="dxa"/>
            <w:right w:w="10" w:type="dxa"/>
          </w:tblCellMar>
        </w:tblPrEx>
        <w:trPr>
          <w:trHeight w:val="634" w:hRule="exact"/>
          <w:jc w:val="center"/>
        </w:trPr>
        <w:tc>
          <w:tcPr>
            <w:tcW w:w="1123" w:type="dxa"/>
            <w:vMerge w:val="restart"/>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项目管理</w:t>
            </w:r>
          </w:p>
          <w:p>
            <w:pPr>
              <w:pStyle w:val="13"/>
              <w:pageBreakBefore w:val="0"/>
              <w:kinsoku/>
              <w:wordWrap/>
              <w:overflowPunct/>
              <w:topLinePunct w:val="0"/>
              <w:bidi w:val="0"/>
              <w:spacing w:line="560" w:lineRule="exact"/>
              <w:ind w:left="0" w:leftChars="0" w:firstLine="180"/>
              <w:rPr>
                <w:rFonts w:ascii="Times New Roman" w:hAnsi="Times New Roman" w:eastAsia="仿宋_GB2312" w:cs="仿宋_GB2312"/>
                <w:sz w:val="17"/>
                <w:szCs w:val="17"/>
              </w:rPr>
            </w:pPr>
            <w:r>
              <w:rPr>
                <w:rFonts w:hint="eastAsia" w:ascii="Times New Roman" w:hAnsi="Times New Roman" w:eastAsia="仿宋_GB2312" w:cs="仿宋_GB2312"/>
                <w:color w:val="000000"/>
                <w:sz w:val="19"/>
                <w:szCs w:val="19"/>
              </w:rPr>
              <w:t xml:space="preserve">（30 </w:t>
            </w:r>
            <w:r>
              <w:rPr>
                <w:rFonts w:hint="eastAsia" w:ascii="Times New Roman" w:hAnsi="Times New Roman" w:eastAsia="仿宋_GB2312" w:cs="仿宋_GB2312"/>
                <w:color w:val="000000"/>
                <w:sz w:val="17"/>
                <w:szCs w:val="17"/>
              </w:rPr>
              <w:t>分）</w:t>
            </w:r>
          </w:p>
        </w:tc>
        <w:tc>
          <w:tcPr>
            <w:tcW w:w="1142" w:type="dxa"/>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180"/>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组织管理</w:t>
            </w:r>
          </w:p>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r>
              <w:rPr>
                <w:rFonts w:hint="eastAsia" w:ascii="Times New Roman" w:hAnsi="Times New Roman" w:eastAsia="仿宋_GB2312" w:cs="仿宋_GB2312"/>
                <w:color w:val="000000"/>
                <w:sz w:val="19"/>
                <w:szCs w:val="19"/>
              </w:rPr>
              <w:t>（5</w:t>
            </w:r>
            <w:r>
              <w:rPr>
                <w:rFonts w:hint="eastAsia" w:ascii="Times New Roman" w:hAnsi="Times New Roman" w:eastAsia="仿宋_GB2312" w:cs="仿宋_GB2312"/>
                <w:color w:val="000000"/>
                <w:sz w:val="17"/>
                <w:szCs w:val="17"/>
              </w:rPr>
              <w:t>分）</w:t>
            </w:r>
          </w:p>
        </w:tc>
        <w:tc>
          <w:tcPr>
            <w:tcW w:w="1094"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180"/>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组织机构</w:t>
            </w:r>
          </w:p>
        </w:tc>
        <w:tc>
          <w:tcPr>
            <w:tcW w:w="4061" w:type="dxa"/>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成立项目领导小组和技术小组，有成员名单和责任分工</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340"/>
              <w:jc w:val="both"/>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是</w:t>
            </w:r>
          </w:p>
        </w:tc>
        <w:tc>
          <w:tcPr>
            <w:tcW w:w="711" w:type="dxa"/>
            <w:gridSpan w:val="2"/>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160"/>
              <w:rPr>
                <w:rFonts w:ascii="Times New Roman" w:hAnsi="Times New Roman" w:eastAsia="仿宋_GB2312" w:cs="仿宋_GB2312"/>
                <w:sz w:val="17"/>
                <w:szCs w:val="17"/>
              </w:rPr>
            </w:pPr>
            <w:r>
              <w:rPr>
                <w:rFonts w:hint="eastAsia" w:ascii="Times New Roman" w:hAnsi="Times New Roman" w:eastAsia="仿宋_GB2312" w:cs="仿宋_GB2312"/>
                <w:color w:val="000000"/>
                <w:sz w:val="19"/>
                <w:szCs w:val="19"/>
              </w:rPr>
              <w:t>5</w:t>
            </w:r>
            <w:r>
              <w:rPr>
                <w:rFonts w:hint="eastAsia" w:ascii="Times New Roman" w:hAnsi="Times New Roman" w:eastAsia="仿宋_GB2312" w:cs="仿宋_GB2312"/>
                <w:color w:val="000000"/>
                <w:sz w:val="17"/>
                <w:szCs w:val="17"/>
              </w:rPr>
              <w:t>分</w:t>
            </w:r>
          </w:p>
        </w:tc>
        <w:tc>
          <w:tcPr>
            <w:tcW w:w="4262" w:type="dxa"/>
            <w:gridSpan w:val="2"/>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lang w:val="zh-CN" w:eastAsia="zh-CN" w:bidi="zh-CN"/>
              </w:rPr>
              <w:t>有则得</w:t>
            </w:r>
            <w:r>
              <w:rPr>
                <w:rFonts w:hint="eastAsia" w:ascii="Times New Roman" w:hAnsi="Times New Roman" w:eastAsia="仿宋_GB2312" w:cs="仿宋_GB2312"/>
                <w:color w:val="000000"/>
                <w:sz w:val="19"/>
                <w:szCs w:val="19"/>
              </w:rPr>
              <w:t>5</w:t>
            </w:r>
            <w:r>
              <w:rPr>
                <w:rFonts w:hint="eastAsia" w:ascii="Times New Roman" w:hAnsi="Times New Roman" w:eastAsia="仿宋_GB2312" w:cs="仿宋_GB2312"/>
                <w:color w:val="000000"/>
                <w:sz w:val="17"/>
                <w:szCs w:val="17"/>
              </w:rPr>
              <w:t>分，没有不得分。</w:t>
            </w:r>
          </w:p>
        </w:tc>
        <w:tc>
          <w:tcPr>
            <w:tcW w:w="730" w:type="dxa"/>
            <w:tcBorders>
              <w:top w:val="single" w:color="auto" w:sz="4" w:space="0"/>
              <w:left w:val="single" w:color="auto" w:sz="4" w:space="0"/>
              <w:right w:val="single" w:color="auto" w:sz="4" w:space="0"/>
            </w:tcBorders>
            <w:shd w:val="clear" w:color="auto" w:fill="FFFFFF"/>
            <w:vAlign w:val="top"/>
          </w:tcPr>
          <w:p>
            <w:pPr>
              <w:pageBreakBefore w:val="0"/>
              <w:kinsoku/>
              <w:wordWrap/>
              <w:overflowPunct/>
              <w:topLinePunct w:val="0"/>
              <w:bidi w:val="0"/>
              <w:spacing w:line="560" w:lineRule="exact"/>
              <w:ind w:left="0" w:leftChars="0"/>
              <w:rPr>
                <w:rFonts w:ascii="Times New Roman" w:hAnsi="Times New Roman" w:eastAsia="仿宋_GB2312" w:cs="仿宋_GB2312"/>
                <w:sz w:val="10"/>
                <w:szCs w:val="10"/>
              </w:rPr>
            </w:pPr>
          </w:p>
        </w:tc>
      </w:tr>
      <w:tr>
        <w:tblPrEx>
          <w:tblCellMar>
            <w:top w:w="0" w:type="dxa"/>
            <w:left w:w="10" w:type="dxa"/>
            <w:bottom w:w="0" w:type="dxa"/>
            <w:right w:w="10" w:type="dxa"/>
          </w:tblCellMar>
        </w:tblPrEx>
        <w:trPr>
          <w:trHeight w:val="675" w:hRule="exact"/>
          <w:jc w:val="center"/>
        </w:trPr>
        <w:tc>
          <w:tcPr>
            <w:tcW w:w="1123" w:type="dxa"/>
            <w:vMerge w:val="continue"/>
            <w:tcBorders>
              <w:left w:val="single" w:color="auto" w:sz="4" w:space="0"/>
            </w:tcBorders>
            <w:shd w:val="clear" w:color="auto" w:fill="FFFFFF"/>
            <w:vAlign w:val="center"/>
          </w:tcPr>
          <w:p>
            <w:pPr>
              <w:pageBreakBefore w:val="0"/>
              <w:kinsoku/>
              <w:wordWrap/>
              <w:overflowPunct/>
              <w:topLinePunct w:val="0"/>
              <w:bidi w:val="0"/>
              <w:spacing w:line="560" w:lineRule="exact"/>
              <w:ind w:left="0" w:leftChars="0"/>
              <w:rPr>
                <w:rFonts w:ascii="Times New Roman" w:hAnsi="Times New Roman" w:eastAsia="仿宋_GB2312" w:cs="仿宋_GB2312"/>
              </w:rPr>
            </w:pPr>
          </w:p>
        </w:tc>
        <w:tc>
          <w:tcPr>
            <w:tcW w:w="1142" w:type="dxa"/>
            <w:vMerge w:val="restart"/>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项目实施 管理</w:t>
            </w:r>
          </w:p>
          <w:p>
            <w:pPr>
              <w:pStyle w:val="13"/>
              <w:pageBreakBefore w:val="0"/>
              <w:kinsoku/>
              <w:wordWrap/>
              <w:overflowPunct/>
              <w:topLinePunct w:val="0"/>
              <w:bidi w:val="0"/>
              <w:spacing w:line="560" w:lineRule="exact"/>
              <w:ind w:left="0" w:leftChars="0" w:firstLine="180"/>
              <w:rPr>
                <w:rFonts w:ascii="Times New Roman" w:hAnsi="Times New Roman" w:eastAsia="仿宋_GB2312" w:cs="仿宋_GB2312"/>
                <w:sz w:val="17"/>
                <w:szCs w:val="17"/>
              </w:rPr>
            </w:pPr>
            <w:r>
              <w:rPr>
                <w:rFonts w:hint="eastAsia" w:ascii="Times New Roman" w:hAnsi="Times New Roman" w:eastAsia="仿宋_GB2312" w:cs="仿宋_GB2312"/>
                <w:color w:val="000000"/>
                <w:sz w:val="19"/>
                <w:szCs w:val="19"/>
              </w:rPr>
              <w:t xml:space="preserve">（15 </w:t>
            </w:r>
            <w:r>
              <w:rPr>
                <w:rFonts w:hint="eastAsia" w:ascii="Times New Roman" w:hAnsi="Times New Roman" w:eastAsia="仿宋_GB2312" w:cs="仿宋_GB2312"/>
                <w:color w:val="000000"/>
                <w:sz w:val="17"/>
                <w:szCs w:val="17"/>
              </w:rPr>
              <w:t>分）</w:t>
            </w:r>
          </w:p>
        </w:tc>
        <w:tc>
          <w:tcPr>
            <w:tcW w:w="1094"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180"/>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实施方案</w:t>
            </w:r>
          </w:p>
        </w:tc>
        <w:tc>
          <w:tcPr>
            <w:tcW w:w="4061" w:type="dxa"/>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制定了符合当地的实琵方案和绩效评价方案并及时报送农业农村厅备案</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340"/>
              <w:jc w:val="both"/>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是</w:t>
            </w:r>
          </w:p>
        </w:tc>
        <w:tc>
          <w:tcPr>
            <w:tcW w:w="711" w:type="dxa"/>
            <w:gridSpan w:val="2"/>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160"/>
              <w:rPr>
                <w:rFonts w:ascii="Times New Roman" w:hAnsi="Times New Roman" w:eastAsia="仿宋_GB2312" w:cs="仿宋_GB2312"/>
                <w:sz w:val="17"/>
                <w:szCs w:val="17"/>
              </w:rPr>
            </w:pPr>
            <w:r>
              <w:rPr>
                <w:rFonts w:hint="eastAsia" w:ascii="Times New Roman" w:hAnsi="Times New Roman" w:eastAsia="仿宋_GB2312" w:cs="仿宋_GB2312"/>
                <w:color w:val="000000"/>
                <w:sz w:val="19"/>
                <w:szCs w:val="19"/>
              </w:rPr>
              <w:t>5</w:t>
            </w:r>
            <w:r>
              <w:rPr>
                <w:rFonts w:hint="eastAsia" w:ascii="Times New Roman" w:hAnsi="Times New Roman" w:eastAsia="仿宋_GB2312" w:cs="仿宋_GB2312"/>
                <w:color w:val="000000"/>
                <w:sz w:val="17"/>
                <w:szCs w:val="17"/>
              </w:rPr>
              <w:t>分</w:t>
            </w:r>
          </w:p>
        </w:tc>
        <w:tc>
          <w:tcPr>
            <w:tcW w:w="4262" w:type="dxa"/>
            <w:gridSpan w:val="2"/>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lang w:eastAsia="zh-CN"/>
              </w:rPr>
              <w:t>实施方案</w:t>
            </w:r>
            <w:r>
              <w:rPr>
                <w:rFonts w:hint="eastAsia" w:ascii="Times New Roman" w:hAnsi="Times New Roman" w:eastAsia="仿宋_GB2312" w:cs="仿宋_GB2312"/>
                <w:color w:val="000000"/>
                <w:sz w:val="17"/>
                <w:szCs w:val="17"/>
                <w:lang w:val="en-US" w:eastAsia="zh-CN" w:bidi="en-US"/>
              </w:rPr>
              <w:t>目标明确、</w:t>
            </w:r>
            <w:r>
              <w:rPr>
                <w:rFonts w:hint="eastAsia" w:ascii="Times New Roman" w:hAnsi="Times New Roman" w:eastAsia="仿宋_GB2312" w:cs="仿宋_GB2312"/>
                <w:color w:val="000000"/>
                <w:sz w:val="17"/>
                <w:szCs w:val="17"/>
              </w:rPr>
              <w:t>任务清单</w:t>
            </w:r>
            <w:r>
              <w:rPr>
                <w:rFonts w:hint="eastAsia" w:ascii="Times New Roman" w:hAnsi="Times New Roman" w:eastAsia="仿宋_GB2312" w:cs="仿宋_GB2312"/>
                <w:color w:val="000000"/>
                <w:sz w:val="17"/>
                <w:szCs w:val="17"/>
                <w:lang w:eastAsia="zh-CN"/>
              </w:rPr>
              <w:t>、进度安排、绩效目标、</w:t>
            </w:r>
            <w:r>
              <w:rPr>
                <w:rFonts w:hint="eastAsia" w:ascii="Times New Roman" w:hAnsi="Times New Roman" w:eastAsia="仿宋_GB2312" w:cs="仿宋_GB2312"/>
                <w:color w:val="000000"/>
                <w:sz w:val="17"/>
                <w:szCs w:val="17"/>
              </w:rPr>
              <w:t>考核办法</w:t>
            </w:r>
            <w:r>
              <w:rPr>
                <w:rFonts w:hint="eastAsia" w:ascii="Times New Roman" w:hAnsi="Times New Roman" w:eastAsia="仿宋_GB2312" w:cs="仿宋_GB2312"/>
                <w:color w:val="000000"/>
                <w:sz w:val="17"/>
                <w:szCs w:val="17"/>
                <w:lang w:eastAsia="zh-CN"/>
              </w:rPr>
              <w:t>完整</w:t>
            </w:r>
            <w:r>
              <w:rPr>
                <w:rFonts w:hint="eastAsia" w:ascii="Times New Roman" w:hAnsi="Times New Roman" w:eastAsia="仿宋_GB2312" w:cs="仿宋_GB2312"/>
                <w:color w:val="000000"/>
                <w:sz w:val="17"/>
                <w:szCs w:val="17"/>
              </w:rPr>
              <w:t>、及时</w:t>
            </w:r>
            <w:r>
              <w:rPr>
                <w:rFonts w:hint="eastAsia" w:ascii="Times New Roman" w:hAnsi="Times New Roman" w:eastAsia="仿宋_GB2312" w:cs="仿宋_GB2312"/>
                <w:color w:val="000000"/>
                <w:sz w:val="17"/>
                <w:szCs w:val="17"/>
                <w:lang w:eastAsia="zh-CN"/>
              </w:rPr>
              <w:t>报送得</w:t>
            </w:r>
            <w:r>
              <w:rPr>
                <w:rFonts w:hint="eastAsia" w:ascii="Times New Roman" w:hAnsi="Times New Roman" w:eastAsia="仿宋_GB2312" w:cs="仿宋_GB2312"/>
                <w:color w:val="000000"/>
                <w:sz w:val="19"/>
                <w:szCs w:val="19"/>
                <w:lang w:val="en-US" w:eastAsia="zh-CN"/>
              </w:rPr>
              <w:t>5</w:t>
            </w:r>
            <w:r>
              <w:rPr>
                <w:rFonts w:hint="eastAsia" w:ascii="Times New Roman" w:hAnsi="Times New Roman" w:eastAsia="仿宋_GB2312" w:cs="仿宋_GB2312"/>
                <w:color w:val="000000"/>
                <w:sz w:val="17"/>
                <w:szCs w:val="17"/>
              </w:rPr>
              <w:t>分，不</w:t>
            </w:r>
            <w:r>
              <w:rPr>
                <w:rFonts w:hint="eastAsia" w:ascii="Times New Roman" w:hAnsi="Times New Roman" w:eastAsia="仿宋_GB2312" w:cs="仿宋_GB2312"/>
                <w:color w:val="000000"/>
                <w:sz w:val="17"/>
                <w:szCs w:val="17"/>
                <w:lang w:eastAsia="zh-CN"/>
              </w:rPr>
              <w:t>完整扣</w:t>
            </w:r>
            <w:r>
              <w:rPr>
                <w:rFonts w:hint="eastAsia" w:ascii="Times New Roman" w:hAnsi="Times New Roman" w:eastAsia="仿宋_GB2312" w:cs="仿宋_GB2312"/>
                <w:color w:val="000000"/>
                <w:sz w:val="19"/>
                <w:szCs w:val="19"/>
              </w:rPr>
              <w:t>3</w:t>
            </w:r>
            <w:r>
              <w:rPr>
                <w:rFonts w:hint="eastAsia" w:ascii="Times New Roman" w:hAnsi="Times New Roman" w:eastAsia="仿宋_GB2312" w:cs="仿宋_GB2312"/>
                <w:color w:val="000000"/>
                <w:sz w:val="17"/>
                <w:szCs w:val="17"/>
              </w:rPr>
              <w:t>分</w:t>
            </w:r>
          </w:p>
        </w:tc>
        <w:tc>
          <w:tcPr>
            <w:tcW w:w="730" w:type="dxa"/>
            <w:tcBorders>
              <w:top w:val="single" w:color="auto" w:sz="4" w:space="0"/>
              <w:left w:val="single" w:color="auto" w:sz="4" w:space="0"/>
              <w:right w:val="single" w:color="auto" w:sz="4" w:space="0"/>
            </w:tcBorders>
            <w:shd w:val="clear" w:color="auto" w:fill="FFFFFF"/>
            <w:vAlign w:val="top"/>
          </w:tcPr>
          <w:p>
            <w:pPr>
              <w:pageBreakBefore w:val="0"/>
              <w:kinsoku/>
              <w:wordWrap/>
              <w:overflowPunct/>
              <w:topLinePunct w:val="0"/>
              <w:bidi w:val="0"/>
              <w:spacing w:line="560" w:lineRule="exact"/>
              <w:ind w:left="0" w:leftChars="0"/>
              <w:rPr>
                <w:rFonts w:ascii="Times New Roman" w:hAnsi="Times New Roman" w:eastAsia="仿宋_GB2312" w:cs="仿宋_GB2312"/>
                <w:sz w:val="10"/>
                <w:szCs w:val="10"/>
              </w:rPr>
            </w:pPr>
          </w:p>
        </w:tc>
      </w:tr>
      <w:tr>
        <w:tblPrEx>
          <w:tblCellMar>
            <w:top w:w="0" w:type="dxa"/>
            <w:left w:w="10" w:type="dxa"/>
            <w:bottom w:w="0" w:type="dxa"/>
            <w:right w:w="10" w:type="dxa"/>
          </w:tblCellMar>
        </w:tblPrEx>
        <w:trPr>
          <w:trHeight w:val="1145" w:hRule="exact"/>
          <w:jc w:val="center"/>
        </w:trPr>
        <w:tc>
          <w:tcPr>
            <w:tcW w:w="1123" w:type="dxa"/>
            <w:vMerge w:val="continue"/>
            <w:tcBorders>
              <w:left w:val="single" w:color="auto" w:sz="4" w:space="0"/>
            </w:tcBorders>
            <w:shd w:val="clear" w:color="auto" w:fill="FFFFFF"/>
            <w:vAlign w:val="center"/>
          </w:tcPr>
          <w:p>
            <w:pPr>
              <w:pageBreakBefore w:val="0"/>
              <w:kinsoku/>
              <w:wordWrap/>
              <w:overflowPunct/>
              <w:topLinePunct w:val="0"/>
              <w:bidi w:val="0"/>
              <w:spacing w:line="560" w:lineRule="exact"/>
              <w:ind w:left="0" w:leftChars="0"/>
              <w:rPr>
                <w:rFonts w:ascii="Times New Roman" w:hAnsi="Times New Roman" w:eastAsia="仿宋_GB2312" w:cs="仿宋_GB2312"/>
              </w:rPr>
            </w:pPr>
          </w:p>
        </w:tc>
        <w:tc>
          <w:tcPr>
            <w:tcW w:w="1142" w:type="dxa"/>
            <w:vMerge w:val="continue"/>
            <w:tcBorders>
              <w:left w:val="single" w:color="auto" w:sz="4" w:space="0"/>
            </w:tcBorders>
            <w:shd w:val="clear" w:color="auto" w:fill="FFFFFF"/>
            <w:vAlign w:val="center"/>
          </w:tcPr>
          <w:p>
            <w:pPr>
              <w:pageBreakBefore w:val="0"/>
              <w:kinsoku/>
              <w:wordWrap/>
              <w:overflowPunct/>
              <w:topLinePunct w:val="0"/>
              <w:bidi w:val="0"/>
              <w:spacing w:line="560" w:lineRule="exact"/>
              <w:ind w:left="0" w:leftChars="0"/>
              <w:rPr>
                <w:rFonts w:ascii="Times New Roman" w:hAnsi="Times New Roman" w:eastAsia="仿宋_GB2312" w:cs="仿宋_GB2312"/>
              </w:rPr>
            </w:pPr>
          </w:p>
        </w:tc>
        <w:tc>
          <w:tcPr>
            <w:tcW w:w="1094"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180"/>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档案管理</w:t>
            </w:r>
          </w:p>
        </w:tc>
        <w:tc>
          <w:tcPr>
            <w:tcW w:w="406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项目档案完整、项目资金使用分类记账管逐，明确档案管理人员</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340"/>
              <w:jc w:val="both"/>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rPr>
              <w:t>是</w:t>
            </w:r>
          </w:p>
        </w:tc>
        <w:tc>
          <w:tcPr>
            <w:tcW w:w="711" w:type="dxa"/>
            <w:gridSpan w:val="2"/>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160"/>
              <w:rPr>
                <w:rFonts w:ascii="Times New Roman" w:hAnsi="Times New Roman" w:eastAsia="仿宋_GB2312" w:cs="仿宋_GB2312"/>
                <w:sz w:val="17"/>
                <w:szCs w:val="17"/>
              </w:rPr>
            </w:pPr>
            <w:r>
              <w:rPr>
                <w:rFonts w:hint="eastAsia" w:ascii="Times New Roman" w:hAnsi="Times New Roman" w:eastAsia="仿宋_GB2312" w:cs="仿宋_GB2312"/>
                <w:color w:val="000000"/>
                <w:sz w:val="19"/>
                <w:szCs w:val="19"/>
              </w:rPr>
              <w:t>5</w:t>
            </w:r>
            <w:r>
              <w:rPr>
                <w:rFonts w:hint="eastAsia" w:ascii="Times New Roman" w:hAnsi="Times New Roman" w:eastAsia="仿宋_GB2312" w:cs="仿宋_GB2312"/>
                <w:color w:val="000000"/>
                <w:sz w:val="17"/>
                <w:szCs w:val="17"/>
              </w:rPr>
              <w:t>分</w:t>
            </w:r>
          </w:p>
        </w:tc>
        <w:tc>
          <w:tcPr>
            <w:tcW w:w="4262" w:type="dxa"/>
            <w:gridSpan w:val="2"/>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rPr>
            </w:pPr>
            <w:r>
              <w:rPr>
                <w:rFonts w:hint="eastAsia" w:ascii="Times New Roman" w:hAnsi="Times New Roman" w:eastAsia="仿宋_GB2312" w:cs="仿宋_GB2312"/>
                <w:color w:val="000000"/>
                <w:sz w:val="17"/>
                <w:szCs w:val="17"/>
                <w:lang w:eastAsia="zh-CN"/>
              </w:rPr>
              <w:t>档案完整</w:t>
            </w:r>
            <w:r>
              <w:rPr>
                <w:rFonts w:hint="eastAsia" w:ascii="Times New Roman" w:hAnsi="Times New Roman" w:eastAsia="仿宋_GB2312" w:cs="仿宋_GB2312"/>
                <w:color w:val="000000"/>
                <w:sz w:val="17"/>
                <w:szCs w:val="17"/>
              </w:rPr>
              <w:t>、</w:t>
            </w:r>
            <w:r>
              <w:rPr>
                <w:rFonts w:hint="eastAsia" w:ascii="Times New Roman" w:hAnsi="Times New Roman" w:eastAsia="仿宋_GB2312" w:cs="仿宋_GB2312"/>
                <w:color w:val="000000"/>
                <w:sz w:val="17"/>
                <w:szCs w:val="17"/>
                <w:lang w:eastAsia="zh-CN"/>
              </w:rPr>
              <w:t>清晰得</w:t>
            </w:r>
            <w:r>
              <w:rPr>
                <w:rFonts w:hint="eastAsia" w:ascii="Times New Roman" w:hAnsi="Times New Roman" w:eastAsia="仿宋_GB2312" w:cs="仿宋_GB2312"/>
                <w:color w:val="000000"/>
                <w:sz w:val="19"/>
                <w:szCs w:val="19"/>
                <w:lang w:val="en-US" w:eastAsia="zh-CN"/>
              </w:rPr>
              <w:t>5</w:t>
            </w:r>
            <w:r>
              <w:rPr>
                <w:rFonts w:hint="eastAsia" w:ascii="Times New Roman" w:hAnsi="Times New Roman" w:eastAsia="仿宋_GB2312" w:cs="仿宋_GB2312"/>
                <w:color w:val="000000"/>
                <w:sz w:val="17"/>
                <w:szCs w:val="17"/>
              </w:rPr>
              <w:t>分.</w:t>
            </w:r>
            <w:r>
              <w:rPr>
                <w:rFonts w:hint="eastAsia" w:ascii="Times New Roman" w:hAnsi="Times New Roman" w:eastAsia="仿宋_GB2312" w:cs="仿宋_GB2312"/>
                <w:color w:val="000000"/>
                <w:sz w:val="17"/>
                <w:szCs w:val="17"/>
                <w:lang w:eastAsia="zh-CN"/>
              </w:rPr>
              <w:t>档案不完整或资金分类不规范的酌情扣分，没有建立项目管理档案或资金分类账目的不得分</w:t>
            </w:r>
            <w:r>
              <w:rPr>
                <w:rFonts w:hint="eastAsia" w:ascii="Times New Roman" w:hAnsi="Times New Roman" w:eastAsia="仿宋_GB2312" w:cs="仿宋_GB2312"/>
                <w:color w:val="000000"/>
                <w:sz w:val="17"/>
                <w:szCs w:val="17"/>
              </w:rPr>
              <w:t>。</w:t>
            </w:r>
          </w:p>
        </w:tc>
        <w:tc>
          <w:tcPr>
            <w:tcW w:w="730" w:type="dxa"/>
            <w:tcBorders>
              <w:top w:val="single" w:color="auto" w:sz="4" w:space="0"/>
              <w:left w:val="single" w:color="auto" w:sz="4" w:space="0"/>
              <w:right w:val="single" w:color="auto" w:sz="4" w:space="0"/>
            </w:tcBorders>
            <w:shd w:val="clear" w:color="auto" w:fill="FFFFFF"/>
            <w:vAlign w:val="top"/>
          </w:tcPr>
          <w:p>
            <w:pPr>
              <w:pageBreakBefore w:val="0"/>
              <w:kinsoku/>
              <w:wordWrap/>
              <w:overflowPunct/>
              <w:topLinePunct w:val="0"/>
              <w:bidi w:val="0"/>
              <w:spacing w:line="560" w:lineRule="exact"/>
              <w:ind w:left="0" w:leftChars="0"/>
              <w:rPr>
                <w:rFonts w:ascii="Times New Roman" w:hAnsi="Times New Roman" w:eastAsia="仿宋_GB2312" w:cs="仿宋_GB2312"/>
                <w:sz w:val="10"/>
                <w:szCs w:val="10"/>
              </w:rPr>
            </w:pPr>
          </w:p>
        </w:tc>
      </w:tr>
      <w:tr>
        <w:tblPrEx>
          <w:tblCellMar>
            <w:top w:w="0" w:type="dxa"/>
            <w:left w:w="10" w:type="dxa"/>
            <w:bottom w:w="0" w:type="dxa"/>
            <w:right w:w="10" w:type="dxa"/>
          </w:tblCellMar>
        </w:tblPrEx>
        <w:trPr>
          <w:trHeight w:val="775" w:hRule="exact"/>
          <w:jc w:val="center"/>
        </w:trPr>
        <w:tc>
          <w:tcPr>
            <w:tcW w:w="1123" w:type="dxa"/>
            <w:vMerge w:val="continue"/>
            <w:tcBorders>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vMerge w:val="continue"/>
            <w:tcBorders>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094" w:type="dxa"/>
            <w:tcBorders>
              <w:top w:val="single" w:color="auto" w:sz="4" w:space="0"/>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总结验收</w:t>
            </w:r>
          </w:p>
        </w:tc>
        <w:tc>
          <w:tcPr>
            <w:tcW w:w="4061" w:type="dxa"/>
            <w:tcBorders>
              <w:top w:val="single" w:color="auto" w:sz="4" w:space="0"/>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总结数据充实且完整，及时组织自验并上报总结</w:t>
            </w:r>
          </w:p>
        </w:tc>
        <w:tc>
          <w:tcPr>
            <w:tcW w:w="922" w:type="dxa"/>
            <w:tcBorders>
              <w:top w:val="single" w:color="auto" w:sz="4" w:space="0"/>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val="en-US" w:eastAsia="zh-CN"/>
              </w:rPr>
              <w:t xml:space="preserve">    </w:t>
            </w:r>
            <w:r>
              <w:rPr>
                <w:rFonts w:hint="eastAsia" w:ascii="Times New Roman" w:hAnsi="Times New Roman" w:eastAsia="仿宋_GB2312" w:cs="仿宋_GB2312"/>
                <w:color w:val="000000"/>
                <w:sz w:val="17"/>
                <w:szCs w:val="17"/>
                <w:lang w:eastAsia="zh-CN"/>
              </w:rPr>
              <w:t>是</w:t>
            </w:r>
          </w:p>
        </w:tc>
        <w:tc>
          <w:tcPr>
            <w:tcW w:w="711" w:type="dxa"/>
            <w:gridSpan w:val="2"/>
            <w:tcBorders>
              <w:top w:val="single" w:color="auto" w:sz="4" w:space="0"/>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5分</w:t>
            </w:r>
          </w:p>
        </w:tc>
        <w:tc>
          <w:tcPr>
            <w:tcW w:w="4262" w:type="dxa"/>
            <w:gridSpan w:val="2"/>
            <w:tcBorders>
              <w:top w:val="single" w:color="auto" w:sz="4" w:space="0"/>
              <w:left w:val="single" w:color="auto" w:sz="4" w:space="0"/>
              <w:bottom w:val="single" w:color="auto" w:sz="4" w:space="0"/>
            </w:tcBorders>
            <w:shd w:val="clear" w:color="auto" w:fill="FFFFFF"/>
            <w:vAlign w:val="bottom"/>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val="en-US" w:eastAsia="zh-CN"/>
              </w:rPr>
            </w:pPr>
            <w:r>
              <w:rPr>
                <w:rFonts w:hint="eastAsia" w:ascii="Times New Roman" w:hAnsi="Times New Roman" w:eastAsia="仿宋_GB2312" w:cs="仿宋_GB2312"/>
                <w:color w:val="000000"/>
                <w:sz w:val="17"/>
                <w:szCs w:val="17"/>
                <w:lang w:eastAsia="zh-CN"/>
              </w:rPr>
              <w:t>及时组织总结验收并上报总结得满分，未组织自验扣</w:t>
            </w:r>
            <w:r>
              <w:rPr>
                <w:rFonts w:hint="eastAsia" w:ascii="Times New Roman" w:hAnsi="Times New Roman" w:eastAsia="仿宋_GB2312" w:cs="仿宋_GB2312"/>
                <w:color w:val="000000"/>
                <w:sz w:val="17"/>
                <w:szCs w:val="17"/>
                <w:lang w:val="en-US" w:eastAsia="zh-CN"/>
              </w:rPr>
              <w:t>1分，少一项总结扣1分，扣完为止。</w:t>
            </w:r>
          </w:p>
        </w:tc>
        <w:tc>
          <w:tcPr>
            <w:tcW w:w="730" w:type="dxa"/>
            <w:tcBorders>
              <w:top w:val="single" w:color="auto" w:sz="4" w:space="0"/>
              <w:left w:val="single" w:color="auto" w:sz="4" w:space="0"/>
              <w:bottom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bl>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br w:type="page"/>
      </w:r>
    </w:p>
    <w:tbl>
      <w:tblPr>
        <w:tblStyle w:val="8"/>
        <w:tblW w:w="14045" w:type="dxa"/>
        <w:jc w:val="center"/>
        <w:tblLayout w:type="fixed"/>
        <w:tblCellMar>
          <w:top w:w="0" w:type="dxa"/>
          <w:left w:w="10" w:type="dxa"/>
          <w:bottom w:w="0" w:type="dxa"/>
          <w:right w:w="10" w:type="dxa"/>
        </w:tblCellMar>
      </w:tblPr>
      <w:tblGrid>
        <w:gridCol w:w="1133"/>
        <w:gridCol w:w="1142"/>
        <w:gridCol w:w="1123"/>
        <w:gridCol w:w="4032"/>
        <w:gridCol w:w="922"/>
        <w:gridCol w:w="701"/>
        <w:gridCol w:w="4272"/>
        <w:gridCol w:w="720"/>
      </w:tblGrid>
      <w:tr>
        <w:tblPrEx>
          <w:tblCellMar>
            <w:top w:w="0" w:type="dxa"/>
            <w:left w:w="10" w:type="dxa"/>
            <w:bottom w:w="0" w:type="dxa"/>
            <w:right w:w="10" w:type="dxa"/>
          </w:tblCellMar>
        </w:tblPrEx>
        <w:trPr>
          <w:trHeight w:val="682" w:hRule="exact"/>
          <w:jc w:val="center"/>
        </w:trPr>
        <w:tc>
          <w:tcPr>
            <w:tcW w:w="1133" w:type="dxa"/>
            <w:vMerge w:val="restart"/>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vMerge w:val="restart"/>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资金管理</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 分）</w:t>
            </w:r>
          </w:p>
        </w:tc>
        <w:tc>
          <w:tcPr>
            <w:tcW w:w="1123"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资金使用</w:t>
            </w:r>
          </w:p>
        </w:tc>
        <w:tc>
          <w:tcPr>
            <w:tcW w:w="403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资金使用符合资金管理办法，按照用途支付</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是</w:t>
            </w:r>
          </w:p>
        </w:tc>
        <w:tc>
          <w:tcPr>
            <w:tcW w:w="70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5分</w:t>
            </w:r>
          </w:p>
        </w:tc>
        <w:tc>
          <w:tcPr>
            <w:tcW w:w="4272" w:type="dxa"/>
            <w:tcBorders>
              <w:top w:val="single" w:color="auto" w:sz="4" w:space="0"/>
              <w:left w:val="single" w:color="auto" w:sz="4" w:space="0"/>
            </w:tcBorders>
            <w:shd w:val="clear" w:color="auto" w:fill="FFFFFF"/>
            <w:vAlign w:val="bottom"/>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符合項目管理办注得5分，无依据超标准支付、不按用途支付的不得分，其他支付问题酌情扣分</w:t>
            </w:r>
          </w:p>
        </w:tc>
        <w:tc>
          <w:tcPr>
            <w:tcW w:w="720" w:type="dxa"/>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r>
        <w:tblPrEx>
          <w:tblCellMar>
            <w:top w:w="0" w:type="dxa"/>
            <w:left w:w="10" w:type="dxa"/>
            <w:bottom w:w="0" w:type="dxa"/>
            <w:right w:w="10" w:type="dxa"/>
          </w:tblCellMar>
        </w:tblPrEx>
        <w:trPr>
          <w:trHeight w:val="624" w:hRule="exact"/>
          <w:jc w:val="center"/>
        </w:trPr>
        <w:tc>
          <w:tcPr>
            <w:tcW w:w="1133" w:type="dxa"/>
            <w:vMerge w:val="continue"/>
            <w:tcBorders>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vMerge w:val="continue"/>
            <w:tcBorders>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23"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资金支付</w:t>
            </w:r>
          </w:p>
        </w:tc>
        <w:tc>
          <w:tcPr>
            <w:tcW w:w="403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2022年12月30日前完成资金支付</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100%</w:t>
            </w:r>
          </w:p>
        </w:tc>
        <w:tc>
          <w:tcPr>
            <w:tcW w:w="70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5分</w:t>
            </w:r>
          </w:p>
        </w:tc>
        <w:tc>
          <w:tcPr>
            <w:tcW w:w="4272" w:type="dxa"/>
            <w:tcBorders>
              <w:top w:val="single" w:color="auto" w:sz="4" w:space="0"/>
              <w:left w:val="single" w:color="auto" w:sz="4" w:space="0"/>
            </w:tcBorders>
            <w:shd w:val="clear" w:color="auto" w:fill="FFFFFF"/>
            <w:vAlign w:val="bottom"/>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任务完成，资金支付按期完成,得5分，每少1个百分点扣1分，扣完为止。</w:t>
            </w:r>
          </w:p>
        </w:tc>
        <w:tc>
          <w:tcPr>
            <w:tcW w:w="720" w:type="dxa"/>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r>
        <w:tblPrEx>
          <w:tblCellMar>
            <w:top w:w="0" w:type="dxa"/>
            <w:left w:w="10" w:type="dxa"/>
            <w:bottom w:w="0" w:type="dxa"/>
            <w:right w:w="10" w:type="dxa"/>
          </w:tblCellMar>
        </w:tblPrEx>
        <w:trPr>
          <w:trHeight w:val="547" w:hRule="exact"/>
          <w:jc w:val="center"/>
        </w:trPr>
        <w:tc>
          <w:tcPr>
            <w:tcW w:w="1133" w:type="dxa"/>
            <w:vMerge w:val="restart"/>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项目绩效</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（70 分）</w:t>
            </w:r>
          </w:p>
        </w:tc>
        <w:tc>
          <w:tcPr>
            <w:tcW w:w="1142" w:type="dxa"/>
            <w:vMerge w:val="restart"/>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产出指标</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（60 分）</w:t>
            </w:r>
          </w:p>
        </w:tc>
        <w:tc>
          <w:tcPr>
            <w:tcW w:w="1123" w:type="dxa"/>
            <w:vMerge w:val="restart"/>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数量指标</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（20 分）</w:t>
            </w:r>
          </w:p>
        </w:tc>
        <w:tc>
          <w:tcPr>
            <w:tcW w:w="403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建立专业化统防统治及绿色防控示范区</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val="en-US" w:eastAsia="zh-CN"/>
              </w:rPr>
              <w:t>19</w:t>
            </w:r>
            <w:r>
              <w:rPr>
                <w:rFonts w:hint="eastAsia" w:ascii="Times New Roman" w:hAnsi="Times New Roman" w:eastAsia="仿宋_GB2312" w:cs="仿宋_GB2312"/>
                <w:color w:val="000000"/>
                <w:sz w:val="17"/>
                <w:szCs w:val="17"/>
                <w:lang w:eastAsia="zh-CN"/>
              </w:rPr>
              <w:t>个</w:t>
            </w:r>
          </w:p>
        </w:tc>
        <w:tc>
          <w:tcPr>
            <w:tcW w:w="70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10分</w:t>
            </w:r>
          </w:p>
        </w:tc>
        <w:tc>
          <w:tcPr>
            <w:tcW w:w="427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建立示范区得</w:t>
            </w:r>
            <w:r>
              <w:rPr>
                <w:rFonts w:hint="eastAsia" w:ascii="Times New Roman" w:hAnsi="Times New Roman" w:eastAsia="仿宋_GB2312" w:cs="仿宋_GB2312"/>
                <w:color w:val="000000"/>
                <w:sz w:val="17"/>
                <w:szCs w:val="17"/>
                <w:lang w:val="en-US" w:eastAsia="zh-CN"/>
              </w:rPr>
              <w:t>10</w:t>
            </w:r>
            <w:r>
              <w:rPr>
                <w:rFonts w:hint="eastAsia" w:ascii="Times New Roman" w:hAnsi="Times New Roman" w:eastAsia="仿宋_GB2312" w:cs="仿宋_GB2312"/>
                <w:color w:val="000000"/>
                <w:sz w:val="17"/>
                <w:szCs w:val="17"/>
                <w:lang w:eastAsia="zh-CN"/>
              </w:rPr>
              <w:t>分，每少 1个扣2分，扣完为</w:t>
            </w:r>
            <w:r>
              <w:rPr>
                <w:rFonts w:hint="eastAsia" w:ascii="Times New Roman" w:hAnsi="Times New Roman" w:eastAsia="仿宋_GB2312" w:cs="仿宋_GB2312"/>
                <w:color w:val="000000"/>
                <w:sz w:val="17"/>
                <w:szCs w:val="17"/>
                <w:lang w:val="zh-CN" w:eastAsia="zh-CN"/>
              </w:rPr>
              <w:t>上：</w:t>
            </w:r>
          </w:p>
        </w:tc>
        <w:tc>
          <w:tcPr>
            <w:tcW w:w="720" w:type="dxa"/>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r>
        <w:tblPrEx>
          <w:tblCellMar>
            <w:top w:w="0" w:type="dxa"/>
            <w:left w:w="10" w:type="dxa"/>
            <w:bottom w:w="0" w:type="dxa"/>
            <w:right w:w="10" w:type="dxa"/>
          </w:tblCellMar>
        </w:tblPrEx>
        <w:trPr>
          <w:trHeight w:val="624" w:hRule="exact"/>
          <w:jc w:val="center"/>
        </w:trPr>
        <w:tc>
          <w:tcPr>
            <w:tcW w:w="1133"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23"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403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专业化统防统治及绿色防控示范区面积</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40万亩次</w:t>
            </w:r>
          </w:p>
        </w:tc>
        <w:tc>
          <w:tcPr>
            <w:tcW w:w="70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10分</w:t>
            </w:r>
          </w:p>
        </w:tc>
        <w:tc>
          <w:tcPr>
            <w:tcW w:w="4272" w:type="dxa"/>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示范区面积达到40万亩次得10分.每少1%扣1分. 扣完为止。</w:t>
            </w:r>
          </w:p>
        </w:tc>
        <w:tc>
          <w:tcPr>
            <w:tcW w:w="720" w:type="dxa"/>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r>
        <w:tblPrEx>
          <w:tblCellMar>
            <w:top w:w="0" w:type="dxa"/>
            <w:left w:w="10" w:type="dxa"/>
            <w:bottom w:w="0" w:type="dxa"/>
            <w:right w:w="10" w:type="dxa"/>
          </w:tblCellMar>
        </w:tblPrEx>
        <w:trPr>
          <w:trHeight w:val="634" w:hRule="exact"/>
          <w:jc w:val="center"/>
        </w:trPr>
        <w:tc>
          <w:tcPr>
            <w:tcW w:w="1133"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23" w:type="dxa"/>
            <w:vMerge w:val="restart"/>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质貴指标</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 分）</w:t>
            </w:r>
          </w:p>
        </w:tc>
        <w:tc>
          <w:tcPr>
            <w:tcW w:w="403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统防统治覆差率</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100%</w:t>
            </w:r>
          </w:p>
        </w:tc>
        <w:tc>
          <w:tcPr>
            <w:tcW w:w="70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5分</w:t>
            </w:r>
          </w:p>
        </w:tc>
        <w:tc>
          <w:tcPr>
            <w:tcW w:w="4272" w:type="dxa"/>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统防统治覆盖率</w:t>
            </w:r>
            <w:r>
              <w:rPr>
                <w:rFonts w:hint="eastAsia" w:ascii="Times New Roman" w:hAnsi="Times New Roman" w:eastAsia="仿宋_GB2312" w:cs="仿宋_GB2312"/>
                <w:color w:val="000000"/>
                <w:sz w:val="17"/>
                <w:szCs w:val="17"/>
                <w:lang w:val="en-US" w:eastAsia="zh-CN"/>
              </w:rPr>
              <w:t>100%得</w:t>
            </w:r>
            <w:r>
              <w:rPr>
                <w:rFonts w:hint="eastAsia" w:ascii="Times New Roman" w:hAnsi="Times New Roman" w:eastAsia="仿宋_GB2312" w:cs="仿宋_GB2312"/>
                <w:color w:val="000000"/>
                <w:sz w:val="17"/>
                <w:szCs w:val="17"/>
                <w:lang w:eastAsia="zh-CN"/>
              </w:rPr>
              <w:t>5分.每少1个百分点</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扣2分，扣完为止。</w:t>
            </w:r>
          </w:p>
        </w:tc>
        <w:tc>
          <w:tcPr>
            <w:tcW w:w="720" w:type="dxa"/>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r>
        <w:tblPrEx>
          <w:tblCellMar>
            <w:top w:w="0" w:type="dxa"/>
            <w:left w:w="10" w:type="dxa"/>
            <w:bottom w:w="0" w:type="dxa"/>
            <w:right w:w="10" w:type="dxa"/>
          </w:tblCellMar>
        </w:tblPrEx>
        <w:trPr>
          <w:trHeight w:val="624" w:hRule="exact"/>
          <w:jc w:val="center"/>
        </w:trPr>
        <w:tc>
          <w:tcPr>
            <w:tcW w:w="1133"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23"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403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防控效果符合防治指标，有效遏制暴发流行成灾</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是</w:t>
            </w:r>
          </w:p>
        </w:tc>
        <w:tc>
          <w:tcPr>
            <w:tcW w:w="70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5分</w:t>
            </w:r>
          </w:p>
        </w:tc>
        <w:tc>
          <w:tcPr>
            <w:tcW w:w="4272" w:type="dxa"/>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防控</w:t>
            </w:r>
            <w:r>
              <w:rPr>
                <w:rFonts w:hint="eastAsia" w:ascii="Times New Roman" w:hAnsi="Times New Roman" w:eastAsia="仿宋_GB2312" w:cs="仿宋_GB2312"/>
                <w:color w:val="000000"/>
                <w:sz w:val="17"/>
                <w:szCs w:val="17"/>
                <w:lang w:val="zh-CN" w:eastAsia="zh-CN"/>
              </w:rPr>
              <w:t>效果符</w:t>
            </w:r>
            <w:r>
              <w:rPr>
                <w:rFonts w:hint="eastAsia" w:ascii="Times New Roman" w:hAnsi="Times New Roman" w:eastAsia="仿宋_GB2312" w:cs="仿宋_GB2312"/>
                <w:color w:val="000000"/>
                <w:sz w:val="17"/>
                <w:szCs w:val="17"/>
                <w:lang w:eastAsia="zh-CN"/>
              </w:rPr>
              <w:t>合防治指标.有效遏制暴发流行成灾得5 分，未达到</w:t>
            </w:r>
            <w:r>
              <w:rPr>
                <w:rFonts w:hint="eastAsia" w:ascii="Times New Roman" w:hAnsi="Times New Roman" w:eastAsia="仿宋_GB2312" w:cs="仿宋_GB2312"/>
                <w:color w:val="000000"/>
                <w:sz w:val="17"/>
                <w:szCs w:val="17"/>
                <w:lang w:val="zh-CN" w:eastAsia="zh-CN"/>
              </w:rPr>
              <w:t>不得分。</w:t>
            </w:r>
          </w:p>
        </w:tc>
        <w:tc>
          <w:tcPr>
            <w:tcW w:w="720" w:type="dxa"/>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r>
        <w:tblPrEx>
          <w:tblCellMar>
            <w:top w:w="0" w:type="dxa"/>
            <w:left w:w="10" w:type="dxa"/>
            <w:bottom w:w="0" w:type="dxa"/>
            <w:right w:w="10" w:type="dxa"/>
          </w:tblCellMar>
        </w:tblPrEx>
        <w:trPr>
          <w:trHeight w:val="442" w:hRule="exact"/>
          <w:jc w:val="center"/>
        </w:trPr>
        <w:tc>
          <w:tcPr>
            <w:tcW w:w="1133"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23" w:type="dxa"/>
            <w:vMerge w:val="restart"/>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时效性指标</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 分）</w:t>
            </w:r>
          </w:p>
        </w:tc>
        <w:tc>
          <w:tcPr>
            <w:tcW w:w="403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资金拨付</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val="en-US" w:eastAsia="zh-CN"/>
              </w:rPr>
            </w:pPr>
            <w:r>
              <w:rPr>
                <w:rFonts w:hint="eastAsia" w:ascii="Times New Roman" w:hAnsi="Times New Roman" w:eastAsia="仿宋_GB2312" w:cs="仿宋_GB2312"/>
                <w:color w:val="000000"/>
                <w:sz w:val="17"/>
                <w:szCs w:val="17"/>
                <w:lang w:val="en-US" w:eastAsia="zh-CN"/>
              </w:rPr>
              <w:t>100%</w:t>
            </w:r>
          </w:p>
        </w:tc>
        <w:tc>
          <w:tcPr>
            <w:tcW w:w="70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val="en-US" w:eastAsia="zh-CN"/>
              </w:rPr>
            </w:pPr>
            <w:r>
              <w:rPr>
                <w:rFonts w:hint="eastAsia" w:ascii="Times New Roman" w:hAnsi="Times New Roman" w:eastAsia="仿宋_GB2312" w:cs="仿宋_GB2312"/>
                <w:color w:val="000000"/>
                <w:sz w:val="17"/>
                <w:szCs w:val="17"/>
                <w:lang w:val="en-US" w:eastAsia="zh-CN"/>
              </w:rPr>
              <w:t>5分</w:t>
            </w:r>
          </w:p>
        </w:tc>
        <w:tc>
          <w:tcPr>
            <w:tcW w:w="427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按时拨付得5分</w:t>
            </w:r>
            <w:r>
              <w:rPr>
                <w:rFonts w:hint="eastAsia" w:ascii="Times New Roman" w:hAnsi="Times New Roman" w:eastAsia="仿宋_GB2312" w:cs="仿宋_GB2312"/>
                <w:color w:val="000000"/>
                <w:sz w:val="17"/>
                <w:szCs w:val="17"/>
                <w:lang w:val="zh-CN" w:eastAsia="zh-CN"/>
              </w:rPr>
              <w:t>.延时</w:t>
            </w:r>
            <w:r>
              <w:rPr>
                <w:rFonts w:hint="eastAsia" w:ascii="Times New Roman" w:hAnsi="Times New Roman" w:eastAsia="仿宋_GB2312" w:cs="仿宋_GB2312"/>
                <w:color w:val="000000"/>
                <w:sz w:val="17"/>
                <w:szCs w:val="17"/>
                <w:lang w:eastAsia="zh-CN"/>
              </w:rPr>
              <w:t>不夸分：</w:t>
            </w:r>
          </w:p>
        </w:tc>
        <w:tc>
          <w:tcPr>
            <w:tcW w:w="720" w:type="dxa"/>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r>
        <w:tblPrEx>
          <w:tblCellMar>
            <w:top w:w="0" w:type="dxa"/>
            <w:left w:w="10" w:type="dxa"/>
            <w:bottom w:w="0" w:type="dxa"/>
            <w:right w:w="10" w:type="dxa"/>
          </w:tblCellMar>
        </w:tblPrEx>
        <w:trPr>
          <w:trHeight w:val="698" w:hRule="exact"/>
          <w:jc w:val="center"/>
        </w:trPr>
        <w:tc>
          <w:tcPr>
            <w:tcW w:w="1133"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23"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403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病虫防治</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100%</w:t>
            </w:r>
          </w:p>
        </w:tc>
        <w:tc>
          <w:tcPr>
            <w:tcW w:w="70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5分</w:t>
            </w:r>
          </w:p>
        </w:tc>
        <w:tc>
          <w:tcPr>
            <w:tcW w:w="427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及时适时防治得5分，</w:t>
            </w:r>
            <w:r>
              <w:rPr>
                <w:rFonts w:hint="eastAsia" w:ascii="Times New Roman" w:hAnsi="Times New Roman" w:eastAsia="仿宋_GB2312" w:cs="仿宋_GB2312"/>
                <w:color w:val="000000"/>
                <w:sz w:val="17"/>
                <w:szCs w:val="17"/>
                <w:lang w:val="zh-CN" w:eastAsia="zh-CN"/>
              </w:rPr>
              <w:t>延时不</w:t>
            </w:r>
            <w:r>
              <w:rPr>
                <w:rFonts w:hint="eastAsia" w:ascii="Times New Roman" w:hAnsi="Times New Roman" w:eastAsia="仿宋_GB2312" w:cs="仿宋_GB2312"/>
                <w:color w:val="000000"/>
                <w:sz w:val="17"/>
                <w:szCs w:val="17"/>
                <w:lang w:eastAsia="zh-CN"/>
              </w:rPr>
              <w:t>得分。</w:t>
            </w:r>
          </w:p>
        </w:tc>
        <w:tc>
          <w:tcPr>
            <w:tcW w:w="720" w:type="dxa"/>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r>
        <w:tblPrEx>
          <w:tblCellMar>
            <w:top w:w="0" w:type="dxa"/>
            <w:left w:w="10" w:type="dxa"/>
            <w:bottom w:w="0" w:type="dxa"/>
            <w:right w:w="10" w:type="dxa"/>
          </w:tblCellMar>
        </w:tblPrEx>
        <w:trPr>
          <w:trHeight w:val="634" w:hRule="exact"/>
          <w:jc w:val="center"/>
        </w:trPr>
        <w:tc>
          <w:tcPr>
            <w:tcW w:w="1133"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23" w:type="dxa"/>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社会效益</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 分）</w:t>
            </w:r>
          </w:p>
        </w:tc>
        <w:tc>
          <w:tcPr>
            <w:tcW w:w="403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hint="eastAsia" w:ascii="Times New Roman" w:hAnsi="Times New Roman" w:eastAsia="仿宋_GB2312" w:cs="仿宋_GB2312"/>
                <w:color w:val="000000"/>
                <w:sz w:val="17"/>
                <w:szCs w:val="17"/>
                <w:lang w:eastAsia="zh-CN"/>
              </w:rPr>
            </w:pPr>
            <w:r>
              <w:rPr>
                <w:rFonts w:hint="eastAsia" w:ascii="Times New Roman" w:hAnsi="Times New Roman" w:eastAsia="仿宋_GB2312" w:cs="仿宋_GB2312"/>
                <w:color w:val="000000"/>
                <w:sz w:val="17"/>
                <w:szCs w:val="17"/>
                <w:lang w:eastAsia="zh-CN"/>
              </w:rPr>
              <w:t>资金使用无重大违纪问题</w:t>
            </w:r>
          </w:p>
          <w:p>
            <w:pPr>
              <w:pStyle w:val="13"/>
              <w:pageBreakBefore w:val="0"/>
              <w:kinsoku/>
              <w:wordWrap/>
              <w:overflowPunct/>
              <w:topLinePunct w:val="0"/>
              <w:bidi w:val="0"/>
              <w:spacing w:line="560" w:lineRule="exact"/>
              <w:ind w:left="0" w:leftChars="0" w:firstLine="0"/>
              <w:jc w:val="both"/>
              <w:rPr>
                <w:rFonts w:hint="eastAsia" w:ascii="Times New Roman" w:hAnsi="Times New Roman" w:eastAsia="仿宋_GB2312" w:cs="仿宋_GB2312"/>
                <w:color w:val="000000"/>
                <w:sz w:val="17"/>
                <w:szCs w:val="17"/>
                <w:lang w:eastAsia="zh-CN"/>
              </w:rPr>
            </w:pPr>
            <w:bookmarkStart w:id="3" w:name="_GoBack"/>
            <w:bookmarkEnd w:id="3"/>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无</w:t>
            </w:r>
          </w:p>
        </w:tc>
        <w:tc>
          <w:tcPr>
            <w:tcW w:w="70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10分</w:t>
            </w:r>
          </w:p>
        </w:tc>
        <w:tc>
          <w:tcPr>
            <w:tcW w:w="427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val="en-US" w:eastAsia="zh-CN"/>
              </w:rPr>
            </w:pPr>
            <w:r>
              <w:rPr>
                <w:rFonts w:hint="eastAsia" w:ascii="Times New Roman" w:hAnsi="Times New Roman" w:eastAsia="仿宋_GB2312" w:cs="仿宋_GB2312"/>
                <w:color w:val="000000"/>
                <w:sz w:val="17"/>
                <w:szCs w:val="17"/>
                <w:lang w:eastAsia="zh-CN"/>
              </w:rPr>
              <w:t>资金使月无重大违纪问题得</w:t>
            </w:r>
            <w:r>
              <w:rPr>
                <w:rFonts w:hint="eastAsia" w:ascii="Times New Roman" w:hAnsi="Times New Roman" w:eastAsia="仿宋_GB2312" w:cs="仿宋_GB2312"/>
                <w:color w:val="000000"/>
                <w:sz w:val="17"/>
                <w:szCs w:val="17"/>
                <w:lang w:val="en-US" w:eastAsia="zh-CN"/>
              </w:rPr>
              <w:t>10分，有得0分。</w:t>
            </w:r>
          </w:p>
        </w:tc>
        <w:tc>
          <w:tcPr>
            <w:tcW w:w="720" w:type="dxa"/>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r>
        <w:tblPrEx>
          <w:tblCellMar>
            <w:top w:w="0" w:type="dxa"/>
            <w:left w:w="10" w:type="dxa"/>
            <w:bottom w:w="0" w:type="dxa"/>
            <w:right w:w="10" w:type="dxa"/>
          </w:tblCellMar>
        </w:tblPrEx>
        <w:trPr>
          <w:trHeight w:val="643" w:hRule="exact"/>
          <w:jc w:val="center"/>
        </w:trPr>
        <w:tc>
          <w:tcPr>
            <w:tcW w:w="1133"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23" w:type="dxa"/>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可持续效益</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（5分）</w:t>
            </w:r>
          </w:p>
        </w:tc>
        <w:tc>
          <w:tcPr>
            <w:tcW w:w="403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重大病虫疫情灾情发现能力</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是</w:t>
            </w:r>
          </w:p>
        </w:tc>
        <w:tc>
          <w:tcPr>
            <w:tcW w:w="70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5分</w:t>
            </w:r>
          </w:p>
        </w:tc>
        <w:tc>
          <w:tcPr>
            <w:tcW w:w="4272" w:type="dxa"/>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建立病虫疫情监测网点，监控设备及时修复，及时调查发现灾情得</w:t>
            </w:r>
            <w:r>
              <w:rPr>
                <w:rFonts w:hint="eastAsia" w:ascii="Times New Roman" w:hAnsi="Times New Roman" w:eastAsia="仿宋_GB2312" w:cs="仿宋_GB2312"/>
                <w:color w:val="000000"/>
                <w:sz w:val="17"/>
                <w:szCs w:val="17"/>
                <w:lang w:val="en-US" w:eastAsia="zh-CN"/>
              </w:rPr>
              <w:t>5分，未做到不得分。</w:t>
            </w:r>
          </w:p>
        </w:tc>
        <w:tc>
          <w:tcPr>
            <w:tcW w:w="720" w:type="dxa"/>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r>
        <w:tblPrEx>
          <w:tblCellMar>
            <w:top w:w="0" w:type="dxa"/>
            <w:left w:w="10" w:type="dxa"/>
            <w:bottom w:w="0" w:type="dxa"/>
            <w:right w:w="10" w:type="dxa"/>
          </w:tblCellMar>
        </w:tblPrEx>
        <w:trPr>
          <w:trHeight w:val="624" w:hRule="exact"/>
          <w:jc w:val="center"/>
        </w:trPr>
        <w:tc>
          <w:tcPr>
            <w:tcW w:w="1133"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vMerge w:val="continue"/>
            <w:tcBorders>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23" w:type="dxa"/>
            <w:tcBorders>
              <w:top w:val="single" w:color="auto" w:sz="4" w:space="0"/>
              <w:lef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可持续效益</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（5分）</w:t>
            </w:r>
          </w:p>
        </w:tc>
        <w:tc>
          <w:tcPr>
            <w:tcW w:w="403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重大病虫疫情防控能力</w:t>
            </w:r>
          </w:p>
        </w:tc>
        <w:tc>
          <w:tcPr>
            <w:tcW w:w="92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是</w:t>
            </w:r>
          </w:p>
        </w:tc>
        <w:tc>
          <w:tcPr>
            <w:tcW w:w="701"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5分</w:t>
            </w:r>
          </w:p>
        </w:tc>
        <w:tc>
          <w:tcPr>
            <w:tcW w:w="4272" w:type="dxa"/>
            <w:tcBorders>
              <w:top w:val="single" w:color="auto" w:sz="4" w:space="0"/>
              <w:left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提高重大病虫疫情防控能力得5分，未提高不得分。</w:t>
            </w:r>
          </w:p>
        </w:tc>
        <w:tc>
          <w:tcPr>
            <w:tcW w:w="720" w:type="dxa"/>
            <w:tcBorders>
              <w:top w:val="single" w:color="auto" w:sz="4" w:space="0"/>
              <w:left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r>
        <w:tblPrEx>
          <w:tblCellMar>
            <w:top w:w="0" w:type="dxa"/>
            <w:left w:w="10" w:type="dxa"/>
            <w:bottom w:w="0" w:type="dxa"/>
            <w:right w:w="10" w:type="dxa"/>
          </w:tblCellMar>
        </w:tblPrEx>
        <w:trPr>
          <w:trHeight w:val="1145" w:hRule="exact"/>
          <w:jc w:val="center"/>
        </w:trPr>
        <w:tc>
          <w:tcPr>
            <w:tcW w:w="1133" w:type="dxa"/>
            <w:vMerge w:val="continue"/>
            <w:tcBorders>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c>
          <w:tcPr>
            <w:tcW w:w="1142" w:type="dxa"/>
            <w:tcBorders>
              <w:top w:val="single" w:color="auto" w:sz="4" w:space="0"/>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满意度指标</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 分）</w:t>
            </w:r>
          </w:p>
        </w:tc>
        <w:tc>
          <w:tcPr>
            <w:tcW w:w="1123" w:type="dxa"/>
            <w:tcBorders>
              <w:top w:val="single" w:color="auto" w:sz="4" w:space="0"/>
              <w:left w:val="single" w:color="auto" w:sz="4" w:space="0"/>
              <w:bottom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服务对象淆 意度</w:t>
            </w:r>
          </w:p>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 分）</w:t>
            </w:r>
          </w:p>
        </w:tc>
        <w:tc>
          <w:tcPr>
            <w:tcW w:w="4032" w:type="dxa"/>
            <w:tcBorders>
              <w:top w:val="single" w:color="auto" w:sz="4" w:space="0"/>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指导农民或防治服务组织情况</w:t>
            </w:r>
          </w:p>
        </w:tc>
        <w:tc>
          <w:tcPr>
            <w:tcW w:w="922" w:type="dxa"/>
            <w:tcBorders>
              <w:top w:val="single" w:color="auto" w:sz="4" w:space="0"/>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center"/>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溝意</w:t>
            </w:r>
          </w:p>
        </w:tc>
        <w:tc>
          <w:tcPr>
            <w:tcW w:w="701" w:type="dxa"/>
            <w:tcBorders>
              <w:top w:val="single" w:color="auto" w:sz="4" w:space="0"/>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10分</w:t>
            </w:r>
          </w:p>
        </w:tc>
        <w:tc>
          <w:tcPr>
            <w:tcW w:w="4272" w:type="dxa"/>
            <w:tcBorders>
              <w:top w:val="single" w:color="auto" w:sz="4" w:space="0"/>
              <w:left w:val="single" w:color="auto" w:sz="4" w:space="0"/>
              <w:bottom w:val="single" w:color="auto" w:sz="4" w:space="0"/>
            </w:tcBorders>
            <w:shd w:val="clear" w:color="auto" w:fill="FFFFFF"/>
            <w:vAlign w:val="center"/>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r>
              <w:rPr>
                <w:rFonts w:hint="eastAsia" w:ascii="Times New Roman" w:hAnsi="Times New Roman" w:eastAsia="仿宋_GB2312" w:cs="仿宋_GB2312"/>
                <w:color w:val="000000"/>
                <w:sz w:val="17"/>
                <w:szCs w:val="17"/>
                <w:lang w:eastAsia="zh-CN"/>
              </w:rPr>
              <w:t>満意再10分，不满意不得分。</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top"/>
          </w:tcPr>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pPr>
          </w:p>
        </w:tc>
      </w:tr>
    </w:tbl>
    <w:p>
      <w:pPr>
        <w:pStyle w:val="13"/>
        <w:pageBreakBefore w:val="0"/>
        <w:kinsoku/>
        <w:wordWrap/>
        <w:overflowPunct/>
        <w:topLinePunct w:val="0"/>
        <w:bidi w:val="0"/>
        <w:spacing w:line="560" w:lineRule="exact"/>
        <w:ind w:left="0" w:leftChars="0" w:firstLine="0"/>
        <w:jc w:val="both"/>
        <w:rPr>
          <w:rFonts w:ascii="Times New Roman" w:hAnsi="Times New Roman" w:eastAsia="仿宋_GB2312" w:cs="仿宋_GB2312"/>
          <w:sz w:val="17"/>
          <w:szCs w:val="17"/>
          <w:lang w:eastAsia="zh-CN"/>
        </w:r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760" w:right="1534" w:bottom="1876" w:left="1261" w:header="0" w:footer="3" w:gutter="0"/>
          <w:pgNumType w:fmt="numberInDash"/>
          <w:cols w:space="720" w:num="1"/>
          <w:titlePg/>
          <w:docGrid w:linePitch="360" w:charSpace="0"/>
        </w:sectPr>
      </w:pPr>
    </w:p>
    <w:tbl>
      <w:tblPr>
        <w:tblStyle w:val="8"/>
        <w:tblpPr w:leftFromText="180" w:rightFromText="180" w:vertAnchor="text" w:horzAnchor="margin" w:tblpXSpec="center" w:tblpY="854"/>
        <w:tblW w:w="9600" w:type="dxa"/>
        <w:tblInd w:w="0" w:type="dxa"/>
        <w:tblLayout w:type="fixed"/>
        <w:tblCellMar>
          <w:top w:w="0" w:type="dxa"/>
          <w:left w:w="108" w:type="dxa"/>
          <w:bottom w:w="0" w:type="dxa"/>
          <w:right w:w="108" w:type="dxa"/>
        </w:tblCellMar>
      </w:tblPr>
      <w:tblGrid>
        <w:gridCol w:w="804"/>
        <w:gridCol w:w="833"/>
        <w:gridCol w:w="806"/>
        <w:gridCol w:w="926"/>
        <w:gridCol w:w="1251"/>
        <w:gridCol w:w="1712"/>
        <w:gridCol w:w="3268"/>
      </w:tblGrid>
      <w:tr>
        <w:tblPrEx>
          <w:tblCellMar>
            <w:top w:w="0" w:type="dxa"/>
            <w:left w:w="108" w:type="dxa"/>
            <w:bottom w:w="0" w:type="dxa"/>
            <w:right w:w="108" w:type="dxa"/>
          </w:tblCellMar>
        </w:tblPrEx>
        <w:trPr>
          <w:trHeight w:val="552" w:hRule="atLeast"/>
        </w:trPr>
        <w:tc>
          <w:tcPr>
            <w:tcW w:w="9600" w:type="dxa"/>
            <w:gridSpan w:val="7"/>
            <w:tcBorders>
              <w:top w:val="nil"/>
              <w:left w:val="nil"/>
              <w:bottom w:val="nil"/>
              <w:right w:val="nil"/>
            </w:tcBorders>
            <w:vAlign w:val="center"/>
          </w:tcPr>
          <w:p>
            <w:pPr>
              <w:pageBreakBefore w:val="0"/>
              <w:kinsoku/>
              <w:wordWrap/>
              <w:overflowPunct/>
              <w:topLinePunct w:val="0"/>
              <w:bidi w:val="0"/>
              <w:spacing w:line="560" w:lineRule="exact"/>
              <w:ind w:left="0" w:leftChars="0"/>
              <w:rPr>
                <w:rFonts w:ascii="Times New Roman" w:hAnsi="Times New Roman" w:cs="宋体"/>
                <w:b/>
                <w:bCs/>
                <w:sz w:val="32"/>
                <w:szCs w:val="32"/>
              </w:rPr>
            </w:pPr>
            <w:r>
              <w:rPr>
                <w:rFonts w:hint="eastAsia" w:ascii="Times New Roman" w:hAnsi="Times New Roman" w:eastAsia="黑体" w:cs="黑体"/>
                <w:b w:val="0"/>
                <w:bCs w:val="0"/>
                <w:sz w:val="28"/>
                <w:szCs w:val="28"/>
                <w:lang w:val="en-US" w:eastAsia="zh-CN"/>
              </w:rPr>
              <w:t xml:space="preserve">            </w:t>
            </w:r>
            <w:r>
              <w:rPr>
                <w:rFonts w:hint="eastAsia" w:ascii="Times New Roman" w:hAnsi="Times New Roman" w:cs="宋体"/>
                <w:b/>
                <w:bCs/>
                <w:sz w:val="32"/>
                <w:szCs w:val="32"/>
              </w:rPr>
              <w:t>农业生产救灾资金绩效目标申报表</w:t>
            </w:r>
          </w:p>
        </w:tc>
      </w:tr>
      <w:tr>
        <w:tblPrEx>
          <w:tblCellMar>
            <w:top w:w="0" w:type="dxa"/>
            <w:left w:w="108" w:type="dxa"/>
            <w:bottom w:w="0" w:type="dxa"/>
            <w:right w:w="108" w:type="dxa"/>
          </w:tblCellMar>
        </w:tblPrEx>
        <w:trPr>
          <w:trHeight w:val="562" w:hRule="atLeast"/>
        </w:trPr>
        <w:tc>
          <w:tcPr>
            <w:tcW w:w="2443"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专项名称</w:t>
            </w:r>
          </w:p>
        </w:tc>
        <w:tc>
          <w:tcPr>
            <w:tcW w:w="7157" w:type="dxa"/>
            <w:gridSpan w:val="4"/>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2023年</w:t>
            </w:r>
            <w:r>
              <w:rPr>
                <w:rFonts w:hint="eastAsia" w:ascii="Times New Roman" w:hAnsi="Times New Roman" w:cs="宋体"/>
                <w:sz w:val="20"/>
                <w:szCs w:val="20"/>
              </w:rPr>
              <w:t>农业生产救灾资金</w:t>
            </w:r>
            <w:r>
              <w:rPr>
                <w:rFonts w:hint="eastAsia" w:ascii="Times New Roman" w:hAnsi="Times New Roman" w:cs="宋体"/>
                <w:sz w:val="20"/>
                <w:szCs w:val="20"/>
                <w:lang w:val="en-US" w:eastAsia="zh-CN"/>
              </w:rPr>
              <w:t>项目</w:t>
            </w:r>
          </w:p>
        </w:tc>
      </w:tr>
      <w:tr>
        <w:tblPrEx>
          <w:tblCellMar>
            <w:top w:w="0" w:type="dxa"/>
            <w:left w:w="108" w:type="dxa"/>
            <w:bottom w:w="0" w:type="dxa"/>
            <w:right w:w="108" w:type="dxa"/>
          </w:tblCellMar>
        </w:tblPrEx>
        <w:trPr>
          <w:trHeight w:val="562" w:hRule="atLeast"/>
        </w:trPr>
        <w:tc>
          <w:tcPr>
            <w:tcW w:w="2443"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sz w:val="20"/>
                <w:szCs w:val="20"/>
              </w:rPr>
            </w:pPr>
            <w:r>
              <w:rPr>
                <w:rFonts w:hint="eastAsia" w:ascii="Times New Roman" w:hAnsi="Times New Roman" w:cs="宋体"/>
                <w:sz w:val="20"/>
                <w:szCs w:val="20"/>
                <w:lang w:val="en-US" w:eastAsia="zh-CN"/>
              </w:rPr>
              <w:t>省级</w:t>
            </w:r>
            <w:r>
              <w:rPr>
                <w:rFonts w:hint="eastAsia" w:ascii="Times New Roman" w:hAnsi="Times New Roman" w:cs="宋体"/>
                <w:sz w:val="20"/>
                <w:szCs w:val="20"/>
              </w:rPr>
              <w:t>主管部门</w:t>
            </w:r>
          </w:p>
        </w:tc>
        <w:tc>
          <w:tcPr>
            <w:tcW w:w="2177"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sz w:val="20"/>
                <w:szCs w:val="20"/>
              </w:rPr>
            </w:pPr>
            <w:r>
              <w:rPr>
                <w:rFonts w:hint="eastAsia" w:ascii="Times New Roman" w:hAnsi="Times New Roman" w:cs="宋体"/>
                <w:sz w:val="20"/>
                <w:szCs w:val="20"/>
                <w:lang w:val="en-US" w:eastAsia="zh-CN"/>
              </w:rPr>
              <w:t>自治区</w:t>
            </w:r>
            <w:r>
              <w:rPr>
                <w:rFonts w:hint="eastAsia" w:ascii="Times New Roman" w:hAnsi="Times New Roman" w:cs="宋体"/>
                <w:sz w:val="20"/>
                <w:szCs w:val="20"/>
              </w:rPr>
              <w:t>农业农村</w:t>
            </w:r>
            <w:r>
              <w:rPr>
                <w:rFonts w:hint="eastAsia" w:ascii="Times New Roman" w:hAnsi="Times New Roman" w:cs="宋体"/>
                <w:sz w:val="20"/>
                <w:szCs w:val="20"/>
                <w:lang w:val="en-US" w:eastAsia="zh-CN"/>
              </w:rPr>
              <w:t>厅</w:t>
            </w:r>
          </w:p>
        </w:tc>
        <w:tc>
          <w:tcPr>
            <w:tcW w:w="171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sz w:val="20"/>
                <w:szCs w:val="20"/>
              </w:rPr>
            </w:pPr>
            <w:r>
              <w:rPr>
                <w:rFonts w:hint="eastAsia" w:ascii="Times New Roman" w:hAnsi="Times New Roman" w:cs="宋体"/>
                <w:sz w:val="20"/>
                <w:szCs w:val="20"/>
              </w:rPr>
              <w:t>专项实施期</w:t>
            </w:r>
          </w:p>
        </w:tc>
        <w:tc>
          <w:tcPr>
            <w:tcW w:w="326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2023年</w:t>
            </w:r>
          </w:p>
        </w:tc>
      </w:tr>
      <w:tr>
        <w:tblPrEx>
          <w:tblCellMar>
            <w:top w:w="0" w:type="dxa"/>
            <w:left w:w="108" w:type="dxa"/>
            <w:bottom w:w="0" w:type="dxa"/>
            <w:right w:w="108" w:type="dxa"/>
          </w:tblCellMar>
        </w:tblPrEx>
        <w:trPr>
          <w:trHeight w:val="562" w:hRule="atLeast"/>
        </w:trPr>
        <w:tc>
          <w:tcPr>
            <w:tcW w:w="2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sz w:val="20"/>
                <w:szCs w:val="20"/>
              </w:rPr>
            </w:pPr>
            <w:r>
              <w:rPr>
                <w:rFonts w:hint="eastAsia" w:ascii="Times New Roman" w:hAnsi="Times New Roman" w:cs="宋体"/>
                <w:sz w:val="20"/>
                <w:szCs w:val="20"/>
                <w:lang w:val="en-US" w:eastAsia="zh-CN"/>
              </w:rPr>
              <w:t>市</w:t>
            </w:r>
            <w:r>
              <w:rPr>
                <w:rFonts w:hint="eastAsia" w:ascii="Times New Roman" w:hAnsi="Times New Roman" w:cs="宋体"/>
                <w:sz w:val="20"/>
                <w:szCs w:val="20"/>
              </w:rPr>
              <w:t>县（区）财政部门</w:t>
            </w:r>
          </w:p>
        </w:tc>
        <w:tc>
          <w:tcPr>
            <w:tcW w:w="2177" w:type="dxa"/>
            <w:gridSpan w:val="2"/>
            <w:tcBorders>
              <w:top w:val="single" w:color="auto" w:sz="4" w:space="0"/>
              <w:left w:val="nil"/>
              <w:bottom w:val="single" w:color="auto" w:sz="4" w:space="0"/>
              <w:right w:val="single" w:color="auto" w:sz="4" w:space="0"/>
            </w:tcBorders>
            <w:shd w:val="clear" w:color="auto" w:fill="FFFFFF"/>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海原县财政局</w:t>
            </w:r>
          </w:p>
        </w:tc>
        <w:tc>
          <w:tcPr>
            <w:tcW w:w="1712"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sz w:val="20"/>
                <w:szCs w:val="20"/>
              </w:rPr>
            </w:pPr>
            <w:r>
              <w:rPr>
                <w:rFonts w:hint="eastAsia" w:ascii="Times New Roman" w:hAnsi="Times New Roman" w:cs="宋体"/>
                <w:sz w:val="20"/>
                <w:szCs w:val="20"/>
              </w:rPr>
              <w:t>市县主管部门</w:t>
            </w:r>
          </w:p>
        </w:tc>
        <w:tc>
          <w:tcPr>
            <w:tcW w:w="3268" w:type="dxa"/>
            <w:tcBorders>
              <w:top w:val="single" w:color="auto" w:sz="4" w:space="0"/>
              <w:left w:val="nil"/>
              <w:bottom w:val="single" w:color="auto" w:sz="4" w:space="0"/>
              <w:right w:val="single" w:color="auto" w:sz="4" w:space="0"/>
            </w:tcBorders>
            <w:shd w:val="clear" w:color="000000" w:fill="FFFFFF"/>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海原县农业农村局</w:t>
            </w:r>
          </w:p>
        </w:tc>
      </w:tr>
      <w:tr>
        <w:tblPrEx>
          <w:tblCellMar>
            <w:top w:w="0" w:type="dxa"/>
            <w:left w:w="108" w:type="dxa"/>
            <w:bottom w:w="0" w:type="dxa"/>
            <w:right w:w="108" w:type="dxa"/>
          </w:tblCellMar>
        </w:tblPrEx>
        <w:trPr>
          <w:trHeight w:val="562" w:hRule="atLeast"/>
        </w:trPr>
        <w:tc>
          <w:tcPr>
            <w:tcW w:w="8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both"/>
              <w:rPr>
                <w:rFonts w:ascii="Times New Roman" w:hAnsi="Times New Roman" w:cs="宋体"/>
                <w:sz w:val="20"/>
                <w:szCs w:val="20"/>
              </w:rPr>
            </w:pPr>
            <w:r>
              <w:rPr>
                <w:rFonts w:hint="eastAsia" w:ascii="Times New Roman" w:hAnsi="Times New Roman" w:cs="宋体"/>
                <w:sz w:val="20"/>
                <w:szCs w:val="20"/>
              </w:rPr>
              <w:t>资金情况（万元）</w:t>
            </w:r>
          </w:p>
        </w:tc>
        <w:tc>
          <w:tcPr>
            <w:tcW w:w="1639"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r>
              <w:rPr>
                <w:rFonts w:hint="eastAsia" w:ascii="Times New Roman" w:hAnsi="Times New Roman" w:cs="宋体"/>
                <w:sz w:val="20"/>
                <w:szCs w:val="20"/>
              </w:rPr>
              <w:t xml:space="preserve">  年度金额：</w:t>
            </w:r>
          </w:p>
        </w:tc>
        <w:tc>
          <w:tcPr>
            <w:tcW w:w="7157" w:type="dxa"/>
            <w:gridSpan w:val="4"/>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lang w:val="en-US" w:eastAsia="zh-CN"/>
              </w:rPr>
              <w:t>120</w:t>
            </w:r>
            <w:r>
              <w:rPr>
                <w:rFonts w:hint="eastAsia" w:ascii="Times New Roman" w:hAnsi="Times New Roman" w:cs="宋体"/>
                <w:sz w:val="20"/>
                <w:szCs w:val="20"/>
              </w:rPr>
              <w:t>万元</w:t>
            </w:r>
          </w:p>
        </w:tc>
      </w:tr>
      <w:tr>
        <w:tblPrEx>
          <w:tblCellMar>
            <w:top w:w="0" w:type="dxa"/>
            <w:left w:w="108" w:type="dxa"/>
            <w:bottom w:w="0" w:type="dxa"/>
            <w:right w:w="108" w:type="dxa"/>
          </w:tblCellMar>
        </w:tblPrEx>
        <w:trPr>
          <w:trHeight w:val="562"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1639"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其中：中央补助</w:t>
            </w:r>
          </w:p>
        </w:tc>
        <w:tc>
          <w:tcPr>
            <w:tcW w:w="7157" w:type="dxa"/>
            <w:gridSpan w:val="4"/>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lang w:val="en-US" w:eastAsia="zh-CN"/>
              </w:rPr>
              <w:t>120</w:t>
            </w:r>
            <w:r>
              <w:rPr>
                <w:rFonts w:hint="eastAsia" w:ascii="Times New Roman" w:hAnsi="Times New Roman" w:cs="宋体"/>
                <w:sz w:val="20"/>
                <w:szCs w:val="20"/>
              </w:rPr>
              <w:t>万元</w:t>
            </w:r>
          </w:p>
        </w:tc>
      </w:tr>
      <w:tr>
        <w:tblPrEx>
          <w:tblCellMar>
            <w:top w:w="0" w:type="dxa"/>
            <w:left w:w="108" w:type="dxa"/>
            <w:bottom w:w="0" w:type="dxa"/>
            <w:right w:w="108" w:type="dxa"/>
          </w:tblCellMar>
        </w:tblPrEx>
        <w:trPr>
          <w:trHeight w:val="1094"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1639"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 xml:space="preserve">     地方资金</w:t>
            </w:r>
          </w:p>
        </w:tc>
        <w:tc>
          <w:tcPr>
            <w:tcW w:w="7157" w:type="dxa"/>
            <w:gridSpan w:val="4"/>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　</w:t>
            </w:r>
          </w:p>
        </w:tc>
      </w:tr>
      <w:tr>
        <w:tblPrEx>
          <w:tblCellMar>
            <w:top w:w="0" w:type="dxa"/>
            <w:left w:w="108" w:type="dxa"/>
            <w:bottom w:w="0" w:type="dxa"/>
            <w:right w:w="108" w:type="dxa"/>
          </w:tblCellMar>
        </w:tblPrEx>
        <w:trPr>
          <w:trHeight w:val="318" w:hRule="atLeast"/>
        </w:trPr>
        <w:tc>
          <w:tcPr>
            <w:tcW w:w="8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both"/>
              <w:rPr>
                <w:rFonts w:hint="eastAsia" w:ascii="Times New Roman" w:hAnsi="Times New Roman" w:cs="宋体"/>
                <w:sz w:val="20"/>
                <w:szCs w:val="20"/>
              </w:rPr>
            </w:pPr>
            <w:r>
              <w:rPr>
                <w:rFonts w:hint="eastAsia" w:ascii="Times New Roman" w:hAnsi="Times New Roman" w:cs="宋体"/>
                <w:sz w:val="20"/>
                <w:szCs w:val="20"/>
              </w:rPr>
              <w:t>年度</w:t>
            </w:r>
          </w:p>
          <w:p>
            <w:pPr>
              <w:pageBreakBefore w:val="0"/>
              <w:widowControl/>
              <w:kinsoku/>
              <w:wordWrap/>
              <w:overflowPunct/>
              <w:topLinePunct w:val="0"/>
              <w:bidi w:val="0"/>
              <w:spacing w:line="560" w:lineRule="exact"/>
              <w:ind w:left="0" w:leftChars="0"/>
              <w:jc w:val="both"/>
              <w:rPr>
                <w:rFonts w:ascii="Times New Roman" w:hAnsi="Times New Roman" w:cs="宋体"/>
                <w:sz w:val="20"/>
                <w:szCs w:val="20"/>
              </w:rPr>
            </w:pPr>
            <w:r>
              <w:rPr>
                <w:rFonts w:hint="eastAsia" w:ascii="Times New Roman" w:hAnsi="Times New Roman" w:cs="宋体"/>
                <w:sz w:val="20"/>
                <w:szCs w:val="20"/>
              </w:rPr>
              <w:t>目标</w:t>
            </w:r>
          </w:p>
        </w:tc>
        <w:tc>
          <w:tcPr>
            <w:tcW w:w="8796" w:type="dxa"/>
            <w:gridSpan w:val="6"/>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560" w:lineRule="exact"/>
              <w:ind w:left="0" w:leftChars="0" w:firstLine="400" w:firstLineChars="200"/>
              <w:jc w:val="left"/>
              <w:rPr>
                <w:rFonts w:ascii="Times New Roman" w:hAnsi="Times New Roman" w:cs="宋体"/>
                <w:sz w:val="20"/>
                <w:szCs w:val="20"/>
              </w:rPr>
            </w:pPr>
            <w:r>
              <w:rPr>
                <w:rFonts w:hint="eastAsia" w:ascii="Times New Roman" w:hAnsi="Times New Roman" w:cs="宋体"/>
                <w:sz w:val="20"/>
                <w:szCs w:val="20"/>
                <w:lang w:val="en-US" w:eastAsia="zh-CN"/>
              </w:rPr>
              <w:t>在主要大豆玉米带状复合种植区域开展生产防灾救灾工作，农业灾害损失率控制在5%以内。</w:t>
            </w:r>
          </w:p>
        </w:tc>
      </w:tr>
      <w:tr>
        <w:tblPrEx>
          <w:tblCellMar>
            <w:top w:w="0" w:type="dxa"/>
            <w:left w:w="108" w:type="dxa"/>
            <w:bottom w:w="0" w:type="dxa"/>
            <w:right w:w="108" w:type="dxa"/>
          </w:tblCellMar>
        </w:tblPrEx>
        <w:trPr>
          <w:trHeight w:val="462"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8796" w:type="dxa"/>
            <w:gridSpan w:val="6"/>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r>
      <w:tr>
        <w:tblPrEx>
          <w:tblCellMar>
            <w:top w:w="0" w:type="dxa"/>
            <w:left w:w="108" w:type="dxa"/>
            <w:bottom w:w="0" w:type="dxa"/>
            <w:right w:w="108" w:type="dxa"/>
          </w:tblCellMar>
        </w:tblPrEx>
        <w:trPr>
          <w:trHeight w:val="835" w:hRule="atLeast"/>
        </w:trPr>
        <w:tc>
          <w:tcPr>
            <w:tcW w:w="804"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绩</w:t>
            </w:r>
            <w:r>
              <w:rPr>
                <w:rFonts w:hint="eastAsia" w:ascii="Times New Roman" w:hAnsi="Times New Roman" w:cs="宋体"/>
                <w:sz w:val="20"/>
                <w:szCs w:val="20"/>
              </w:rPr>
              <w:br w:type="textWrapping"/>
            </w:r>
            <w:r>
              <w:rPr>
                <w:rFonts w:hint="eastAsia" w:ascii="Times New Roman" w:hAnsi="Times New Roman" w:cs="宋体"/>
                <w:sz w:val="20"/>
                <w:szCs w:val="20"/>
              </w:rPr>
              <w:t>效</w:t>
            </w:r>
            <w:r>
              <w:rPr>
                <w:rFonts w:hint="eastAsia" w:ascii="Times New Roman" w:hAnsi="Times New Roman" w:cs="宋体"/>
                <w:sz w:val="20"/>
                <w:szCs w:val="20"/>
              </w:rPr>
              <w:br w:type="textWrapping"/>
            </w:r>
            <w:r>
              <w:rPr>
                <w:rFonts w:hint="eastAsia" w:ascii="Times New Roman" w:hAnsi="Times New Roman" w:cs="宋体"/>
                <w:sz w:val="20"/>
                <w:szCs w:val="20"/>
              </w:rPr>
              <w:t>指</w:t>
            </w:r>
            <w:r>
              <w:rPr>
                <w:rFonts w:hint="eastAsia" w:ascii="Times New Roman" w:hAnsi="Times New Roman" w:cs="宋体"/>
                <w:sz w:val="20"/>
                <w:szCs w:val="20"/>
              </w:rPr>
              <w:br w:type="textWrapping"/>
            </w:r>
            <w:r>
              <w:rPr>
                <w:rFonts w:hint="eastAsia" w:ascii="Times New Roman" w:hAnsi="Times New Roman" w:cs="宋体"/>
                <w:sz w:val="20"/>
                <w:szCs w:val="20"/>
              </w:rPr>
              <w:t>标</w:t>
            </w:r>
          </w:p>
        </w:tc>
        <w:tc>
          <w:tcPr>
            <w:tcW w:w="833"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一级</w:t>
            </w:r>
            <w:r>
              <w:rPr>
                <w:rFonts w:hint="eastAsia" w:ascii="Times New Roman" w:hAnsi="Times New Roman" w:cs="宋体"/>
                <w:sz w:val="20"/>
                <w:szCs w:val="20"/>
              </w:rPr>
              <w:br w:type="textWrapping"/>
            </w:r>
            <w:r>
              <w:rPr>
                <w:rFonts w:hint="eastAsia" w:ascii="Times New Roman" w:hAnsi="Times New Roman" w:cs="宋体"/>
                <w:sz w:val="20"/>
                <w:szCs w:val="20"/>
              </w:rPr>
              <w:t>指标</w:t>
            </w:r>
          </w:p>
        </w:tc>
        <w:tc>
          <w:tcPr>
            <w:tcW w:w="1732" w:type="dxa"/>
            <w:gridSpan w:val="2"/>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二级指标</w:t>
            </w:r>
          </w:p>
        </w:tc>
        <w:tc>
          <w:tcPr>
            <w:tcW w:w="2963"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三级指标</w:t>
            </w:r>
          </w:p>
        </w:tc>
        <w:tc>
          <w:tcPr>
            <w:tcW w:w="326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指标值</w:t>
            </w:r>
          </w:p>
        </w:tc>
      </w:tr>
      <w:tr>
        <w:tblPrEx>
          <w:tblCellMar>
            <w:top w:w="0" w:type="dxa"/>
            <w:left w:w="108" w:type="dxa"/>
            <w:bottom w:w="0" w:type="dxa"/>
            <w:right w:w="108" w:type="dxa"/>
          </w:tblCellMar>
        </w:tblPrEx>
        <w:trPr>
          <w:trHeight w:val="562"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833" w:type="dxa"/>
            <w:vMerge w:val="restart"/>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560" w:lineRule="exact"/>
              <w:ind w:left="0" w:leftChars="0"/>
              <w:jc w:val="both"/>
              <w:rPr>
                <w:rFonts w:ascii="Times New Roman" w:hAnsi="Times New Roman" w:cs="宋体"/>
                <w:sz w:val="20"/>
                <w:szCs w:val="20"/>
              </w:rPr>
            </w:pPr>
            <w:r>
              <w:rPr>
                <w:rFonts w:hint="eastAsia" w:ascii="Times New Roman" w:hAnsi="Times New Roman" w:cs="宋体"/>
                <w:sz w:val="20"/>
                <w:szCs w:val="20"/>
              </w:rPr>
              <w:t>产</w:t>
            </w:r>
            <w:r>
              <w:rPr>
                <w:rFonts w:hint="eastAsia" w:ascii="Times New Roman" w:hAnsi="Times New Roman" w:cs="宋体"/>
                <w:sz w:val="20"/>
                <w:szCs w:val="20"/>
                <w:lang w:val="en-US" w:eastAsia="zh-CN"/>
              </w:rPr>
              <w:t xml:space="preserve"> </w:t>
            </w:r>
            <w:r>
              <w:rPr>
                <w:rFonts w:hint="eastAsia" w:ascii="Times New Roman" w:hAnsi="Times New Roman" w:cs="宋体"/>
                <w:sz w:val="20"/>
                <w:szCs w:val="20"/>
              </w:rPr>
              <w:t>出</w:t>
            </w:r>
            <w:r>
              <w:rPr>
                <w:rFonts w:hint="eastAsia" w:ascii="Times New Roman" w:hAnsi="Times New Roman" w:cs="宋体"/>
                <w:sz w:val="20"/>
                <w:szCs w:val="20"/>
              </w:rPr>
              <w:br w:type="textWrapping"/>
            </w:r>
            <w:r>
              <w:rPr>
                <w:rFonts w:hint="eastAsia" w:ascii="Times New Roman" w:hAnsi="Times New Roman" w:cs="宋体"/>
                <w:sz w:val="20"/>
                <w:szCs w:val="20"/>
              </w:rPr>
              <w:t>指</w:t>
            </w:r>
            <w:r>
              <w:rPr>
                <w:rFonts w:hint="eastAsia" w:ascii="Times New Roman" w:hAnsi="Times New Roman" w:cs="宋体"/>
                <w:sz w:val="20"/>
                <w:szCs w:val="20"/>
                <w:lang w:val="en-US" w:eastAsia="zh-CN"/>
              </w:rPr>
              <w:t xml:space="preserve"> </w:t>
            </w:r>
            <w:r>
              <w:rPr>
                <w:rFonts w:hint="eastAsia" w:ascii="Times New Roman" w:hAnsi="Times New Roman" w:cs="宋体"/>
                <w:sz w:val="20"/>
                <w:szCs w:val="20"/>
              </w:rPr>
              <w:t>标</w:t>
            </w:r>
          </w:p>
        </w:tc>
        <w:tc>
          <w:tcPr>
            <w:tcW w:w="1732" w:type="dxa"/>
            <w:gridSpan w:val="2"/>
            <w:vMerge w:val="restart"/>
            <w:tcBorders>
              <w:top w:val="nil"/>
              <w:left w:val="nil"/>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数量指标</w:t>
            </w:r>
          </w:p>
        </w:tc>
        <w:tc>
          <w:tcPr>
            <w:tcW w:w="2963" w:type="dxa"/>
            <w:gridSpan w:val="2"/>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eastAsia="宋体" w:cs="宋体"/>
                <w:sz w:val="20"/>
                <w:szCs w:val="20"/>
                <w:lang w:eastAsia="zh-CN"/>
              </w:rPr>
              <w:t>重大</w:t>
            </w:r>
            <w:r>
              <w:rPr>
                <w:rFonts w:hint="eastAsia" w:ascii="Times New Roman" w:hAnsi="Times New Roman" w:cs="宋体"/>
                <w:sz w:val="20"/>
                <w:szCs w:val="20"/>
              </w:rPr>
              <w:t>病虫</w:t>
            </w:r>
            <w:r>
              <w:rPr>
                <w:rFonts w:hint="eastAsia" w:ascii="Times New Roman" w:hAnsi="Times New Roman" w:eastAsia="宋体" w:cs="宋体"/>
                <w:sz w:val="20"/>
                <w:szCs w:val="20"/>
                <w:lang w:eastAsia="zh-CN"/>
              </w:rPr>
              <w:t>监测与</w:t>
            </w:r>
            <w:r>
              <w:rPr>
                <w:rFonts w:hint="eastAsia" w:ascii="Times New Roman" w:hAnsi="Times New Roman" w:cs="宋体"/>
                <w:sz w:val="20"/>
                <w:szCs w:val="20"/>
              </w:rPr>
              <w:t>防控面积</w:t>
            </w:r>
          </w:p>
        </w:tc>
        <w:tc>
          <w:tcPr>
            <w:tcW w:w="3268" w:type="dxa"/>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6.0万亩</w:t>
            </w:r>
          </w:p>
        </w:tc>
      </w:tr>
      <w:tr>
        <w:tblPrEx>
          <w:tblCellMar>
            <w:top w:w="0" w:type="dxa"/>
            <w:left w:w="108" w:type="dxa"/>
            <w:bottom w:w="0" w:type="dxa"/>
            <w:right w:w="108" w:type="dxa"/>
          </w:tblCellMar>
        </w:tblPrEx>
        <w:trPr>
          <w:trHeight w:val="562"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833" w:type="dxa"/>
            <w:vMerge w:val="continue"/>
            <w:tcBorders>
              <w:left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sz w:val="20"/>
                <w:szCs w:val="20"/>
              </w:rPr>
            </w:pPr>
          </w:p>
        </w:tc>
        <w:tc>
          <w:tcPr>
            <w:tcW w:w="1732" w:type="dxa"/>
            <w:gridSpan w:val="2"/>
            <w:vMerge w:val="continue"/>
            <w:tcBorders>
              <w:left w:val="nil"/>
              <w:bottom w:val="nil"/>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sz w:val="20"/>
                <w:szCs w:val="20"/>
              </w:rPr>
            </w:pPr>
          </w:p>
        </w:tc>
        <w:tc>
          <w:tcPr>
            <w:tcW w:w="2963" w:type="dxa"/>
            <w:gridSpan w:val="2"/>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eastAsia="宋体" w:cs="宋体"/>
                <w:sz w:val="20"/>
                <w:szCs w:val="20"/>
                <w:lang w:val="en-US" w:eastAsia="zh-CN"/>
              </w:rPr>
            </w:pPr>
            <w:r>
              <w:rPr>
                <w:rFonts w:hint="eastAsia" w:ascii="Times New Roman" w:hAnsi="Times New Roman" w:eastAsia="宋体" w:cs="宋体"/>
                <w:sz w:val="20"/>
                <w:szCs w:val="20"/>
                <w:lang w:val="en-US" w:eastAsia="zh-CN"/>
              </w:rPr>
              <w:t>农业灾害损失率</w:t>
            </w:r>
          </w:p>
        </w:tc>
        <w:tc>
          <w:tcPr>
            <w:tcW w:w="3268" w:type="dxa"/>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sz w:val="20"/>
                <w:szCs w:val="20"/>
                <w:lang w:val="en-US" w:eastAsia="zh-CN"/>
              </w:rPr>
            </w:pPr>
            <w:r>
              <w:rPr>
                <w:rFonts w:hint="eastAsia" w:ascii="Times New Roman" w:hAnsi="Times New Roman" w:eastAsia="宋体" w:cs="宋体"/>
                <w:sz w:val="20"/>
                <w:szCs w:val="20"/>
                <w:lang w:val="en-US" w:eastAsia="zh-CN"/>
              </w:rPr>
              <w:t>≦5%</w:t>
            </w:r>
          </w:p>
        </w:tc>
      </w:tr>
      <w:tr>
        <w:tblPrEx>
          <w:tblCellMar>
            <w:top w:w="0" w:type="dxa"/>
            <w:left w:w="108" w:type="dxa"/>
            <w:bottom w:w="0" w:type="dxa"/>
            <w:right w:w="108" w:type="dxa"/>
          </w:tblCellMar>
        </w:tblPrEx>
        <w:trPr>
          <w:trHeight w:val="562"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833"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1732" w:type="dxa"/>
            <w:gridSpan w:val="2"/>
            <w:tcBorders>
              <w:top w:val="single" w:color="auto" w:sz="4" w:space="0"/>
              <w:left w:val="nil"/>
              <w:bottom w:val="nil"/>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质量指标</w:t>
            </w:r>
          </w:p>
        </w:tc>
        <w:tc>
          <w:tcPr>
            <w:tcW w:w="2963" w:type="dxa"/>
            <w:gridSpan w:val="2"/>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sz w:val="20"/>
                <w:szCs w:val="20"/>
                <w:lang w:val="en-US"/>
              </w:rPr>
            </w:pPr>
            <w:r>
              <w:rPr>
                <w:rFonts w:hint="eastAsia" w:ascii="Times New Roman" w:hAnsi="Times New Roman" w:eastAsia="宋体" w:cs="宋体"/>
                <w:sz w:val="20"/>
                <w:szCs w:val="20"/>
                <w:lang w:val="en-US" w:eastAsia="zh-CN"/>
              </w:rPr>
              <w:t>农业防灾减灾能力</w:t>
            </w:r>
          </w:p>
        </w:tc>
        <w:tc>
          <w:tcPr>
            <w:tcW w:w="3268" w:type="dxa"/>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eastAsiaTheme="minorEastAsia"/>
                <w:sz w:val="20"/>
                <w:szCs w:val="20"/>
                <w:lang w:val="en-US" w:eastAsia="zh-CN"/>
              </w:rPr>
            </w:pPr>
            <w:r>
              <w:rPr>
                <w:rFonts w:hint="eastAsia" w:ascii="Times New Roman" w:hAnsi="Times New Roman" w:eastAsia="宋体" w:cs="宋体"/>
                <w:sz w:val="20"/>
                <w:szCs w:val="20"/>
                <w:lang w:val="en-US" w:eastAsia="zh-CN"/>
              </w:rPr>
              <w:t>提升</w:t>
            </w:r>
          </w:p>
        </w:tc>
      </w:tr>
      <w:tr>
        <w:tblPrEx>
          <w:tblCellMar>
            <w:top w:w="0" w:type="dxa"/>
            <w:left w:w="108" w:type="dxa"/>
            <w:bottom w:w="0" w:type="dxa"/>
            <w:right w:w="108" w:type="dxa"/>
          </w:tblCellMar>
        </w:tblPrEx>
        <w:trPr>
          <w:trHeight w:val="562"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833"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1732" w:type="dxa"/>
            <w:gridSpan w:val="2"/>
            <w:tcBorders>
              <w:top w:val="single" w:color="auto" w:sz="4" w:space="0"/>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成本指标</w:t>
            </w:r>
          </w:p>
        </w:tc>
        <w:tc>
          <w:tcPr>
            <w:tcW w:w="2963" w:type="dxa"/>
            <w:gridSpan w:val="2"/>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eastAsia="宋体" w:cs="宋体"/>
                <w:sz w:val="20"/>
                <w:szCs w:val="20"/>
                <w:lang w:eastAsia="zh-CN"/>
              </w:rPr>
            </w:pPr>
            <w:r>
              <w:rPr>
                <w:rFonts w:hint="eastAsia" w:ascii="Times New Roman" w:hAnsi="Times New Roman" w:eastAsia="宋体" w:cs="宋体"/>
                <w:sz w:val="20"/>
                <w:szCs w:val="20"/>
                <w:lang w:val="en-US" w:eastAsia="zh-CN"/>
              </w:rPr>
              <w:t>项目投入</w:t>
            </w:r>
            <w:r>
              <w:rPr>
                <w:rFonts w:hint="eastAsia" w:ascii="Times New Roman" w:hAnsi="Times New Roman" w:eastAsia="宋体" w:cs="宋体"/>
                <w:sz w:val="20"/>
                <w:szCs w:val="20"/>
                <w:lang w:eastAsia="zh-CN"/>
              </w:rPr>
              <w:t>资金</w:t>
            </w:r>
          </w:p>
        </w:tc>
        <w:tc>
          <w:tcPr>
            <w:tcW w:w="3268" w:type="dxa"/>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eastAsia="宋体" w:cs="宋体"/>
                <w:sz w:val="20"/>
                <w:szCs w:val="20"/>
                <w:lang w:val="en-US" w:eastAsia="zh-CN"/>
              </w:rPr>
            </w:pPr>
            <w:r>
              <w:rPr>
                <w:rFonts w:hint="eastAsia" w:ascii="Times New Roman" w:hAnsi="Times New Roman" w:eastAsia="宋体" w:cs="宋体"/>
                <w:sz w:val="20"/>
                <w:szCs w:val="20"/>
                <w:lang w:val="en-US" w:eastAsia="zh-CN"/>
              </w:rPr>
              <w:t>120万元</w:t>
            </w:r>
          </w:p>
        </w:tc>
      </w:tr>
      <w:tr>
        <w:tblPrEx>
          <w:tblCellMar>
            <w:top w:w="0" w:type="dxa"/>
            <w:left w:w="108" w:type="dxa"/>
            <w:bottom w:w="0" w:type="dxa"/>
            <w:right w:w="108" w:type="dxa"/>
          </w:tblCellMar>
        </w:tblPrEx>
        <w:trPr>
          <w:trHeight w:val="562"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833"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1732" w:type="dxa"/>
            <w:gridSpan w:val="2"/>
            <w:vMerge w:val="restart"/>
            <w:tcBorders>
              <w:top w:val="nil"/>
              <w:left w:val="nil"/>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时效指标</w:t>
            </w:r>
          </w:p>
        </w:tc>
        <w:tc>
          <w:tcPr>
            <w:tcW w:w="2963"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eastAsia="宋体" w:cs="宋体"/>
                <w:sz w:val="20"/>
                <w:szCs w:val="20"/>
                <w:lang w:val="en-US" w:eastAsia="zh-CN"/>
              </w:rPr>
            </w:pPr>
            <w:r>
              <w:rPr>
                <w:rFonts w:hint="eastAsia" w:ascii="Times New Roman" w:hAnsi="Times New Roman" w:eastAsia="宋体" w:cs="宋体"/>
                <w:sz w:val="20"/>
                <w:szCs w:val="20"/>
                <w:lang w:val="en-US" w:eastAsia="zh-CN"/>
              </w:rPr>
              <w:t>任务完成及时</w:t>
            </w:r>
          </w:p>
        </w:tc>
        <w:tc>
          <w:tcPr>
            <w:tcW w:w="326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eastAsia="宋体" w:cs="宋体"/>
                <w:sz w:val="20"/>
                <w:szCs w:val="20"/>
                <w:lang w:val="en-US" w:eastAsia="zh-CN"/>
              </w:rPr>
            </w:pPr>
            <w:r>
              <w:rPr>
                <w:rFonts w:hint="eastAsia" w:ascii="Times New Roman" w:hAnsi="Times New Roman" w:eastAsia="宋体" w:cs="宋体"/>
                <w:sz w:val="20"/>
                <w:szCs w:val="20"/>
                <w:lang w:val="en-US" w:eastAsia="zh-CN"/>
              </w:rPr>
              <w:t>2023年12月30日前完成</w:t>
            </w:r>
          </w:p>
        </w:tc>
      </w:tr>
      <w:tr>
        <w:tblPrEx>
          <w:tblCellMar>
            <w:top w:w="0" w:type="dxa"/>
            <w:left w:w="108" w:type="dxa"/>
            <w:bottom w:w="0" w:type="dxa"/>
            <w:right w:w="108" w:type="dxa"/>
          </w:tblCellMar>
        </w:tblPrEx>
        <w:trPr>
          <w:trHeight w:val="562"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833"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1732" w:type="dxa"/>
            <w:gridSpan w:val="2"/>
            <w:vMerge w:val="continue"/>
            <w:tcBorders>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p>
        </w:tc>
        <w:tc>
          <w:tcPr>
            <w:tcW w:w="2963"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采购物资或服务价格</w:t>
            </w:r>
          </w:p>
        </w:tc>
        <w:tc>
          <w:tcPr>
            <w:tcW w:w="326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20元/亩</w:t>
            </w:r>
          </w:p>
        </w:tc>
      </w:tr>
      <w:tr>
        <w:tblPrEx>
          <w:tblCellMar>
            <w:top w:w="0" w:type="dxa"/>
            <w:left w:w="108" w:type="dxa"/>
            <w:bottom w:w="0" w:type="dxa"/>
            <w:right w:w="108" w:type="dxa"/>
          </w:tblCellMar>
        </w:tblPrEx>
        <w:trPr>
          <w:trHeight w:val="562"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833" w:type="dxa"/>
            <w:vMerge w:val="restart"/>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560" w:lineRule="exact"/>
              <w:ind w:left="0" w:leftChars="0"/>
              <w:jc w:val="both"/>
              <w:rPr>
                <w:rFonts w:ascii="Times New Roman" w:hAnsi="Times New Roman" w:cs="宋体"/>
                <w:sz w:val="20"/>
                <w:szCs w:val="20"/>
              </w:rPr>
            </w:pPr>
            <w:r>
              <w:rPr>
                <w:rFonts w:hint="eastAsia" w:ascii="Times New Roman" w:hAnsi="Times New Roman" w:cs="宋体"/>
                <w:sz w:val="20"/>
                <w:szCs w:val="20"/>
              </w:rPr>
              <w:t>效</w:t>
            </w:r>
            <w:r>
              <w:rPr>
                <w:rFonts w:hint="eastAsia" w:ascii="Times New Roman" w:hAnsi="Times New Roman" w:cs="宋体"/>
                <w:sz w:val="20"/>
                <w:szCs w:val="20"/>
                <w:lang w:val="en-US" w:eastAsia="zh-CN"/>
              </w:rPr>
              <w:t xml:space="preserve"> </w:t>
            </w:r>
            <w:r>
              <w:rPr>
                <w:rFonts w:hint="eastAsia" w:ascii="Times New Roman" w:hAnsi="Times New Roman" w:cs="宋体"/>
                <w:sz w:val="20"/>
                <w:szCs w:val="20"/>
              </w:rPr>
              <w:t>益</w:t>
            </w:r>
            <w:r>
              <w:rPr>
                <w:rFonts w:hint="eastAsia" w:ascii="Times New Roman" w:hAnsi="Times New Roman" w:cs="宋体"/>
                <w:sz w:val="20"/>
                <w:szCs w:val="20"/>
              </w:rPr>
              <w:br w:type="textWrapping"/>
            </w:r>
            <w:r>
              <w:rPr>
                <w:rFonts w:hint="eastAsia" w:ascii="Times New Roman" w:hAnsi="Times New Roman" w:cs="宋体"/>
                <w:sz w:val="20"/>
                <w:szCs w:val="20"/>
              </w:rPr>
              <w:t>指</w:t>
            </w:r>
            <w:r>
              <w:rPr>
                <w:rFonts w:hint="eastAsia" w:ascii="Times New Roman" w:hAnsi="Times New Roman" w:cs="宋体"/>
                <w:sz w:val="20"/>
                <w:szCs w:val="20"/>
                <w:lang w:val="en-US" w:eastAsia="zh-CN"/>
              </w:rPr>
              <w:t xml:space="preserve"> </w:t>
            </w:r>
            <w:r>
              <w:rPr>
                <w:rFonts w:hint="eastAsia" w:ascii="Times New Roman" w:hAnsi="Times New Roman" w:cs="宋体"/>
                <w:sz w:val="20"/>
                <w:szCs w:val="20"/>
              </w:rPr>
              <w:t>标</w:t>
            </w:r>
          </w:p>
        </w:tc>
        <w:tc>
          <w:tcPr>
            <w:tcW w:w="1732" w:type="dxa"/>
            <w:gridSpan w:val="2"/>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经济效益指标</w:t>
            </w:r>
          </w:p>
        </w:tc>
        <w:tc>
          <w:tcPr>
            <w:tcW w:w="2963"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项目区粮食减损</w:t>
            </w:r>
          </w:p>
        </w:tc>
        <w:tc>
          <w:tcPr>
            <w:tcW w:w="326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eastAsiaTheme="minorEastAsia" w:cstheme="minorEastAsia"/>
                <w:sz w:val="20"/>
                <w:szCs w:val="20"/>
                <w:lang w:val="en-US" w:eastAsia="zh-CN"/>
              </w:rPr>
            </w:pPr>
            <w:r>
              <w:rPr>
                <w:rFonts w:hint="eastAsia" w:ascii="Times New Roman" w:hAnsi="Times New Roman" w:eastAsia="宋体" w:cs="宋体"/>
                <w:sz w:val="20"/>
                <w:szCs w:val="20"/>
                <w:lang w:val="en-US" w:eastAsia="zh-CN"/>
              </w:rPr>
              <w:t>≧</w:t>
            </w:r>
            <w:r>
              <w:rPr>
                <w:rFonts w:hint="eastAsia" w:ascii="Times New Roman" w:hAnsi="Times New Roman" w:cstheme="minorEastAsia"/>
                <w:sz w:val="20"/>
                <w:szCs w:val="20"/>
                <w:lang w:val="en-US" w:eastAsia="zh-CN"/>
              </w:rPr>
              <w:t>5%</w:t>
            </w:r>
          </w:p>
        </w:tc>
      </w:tr>
      <w:tr>
        <w:tblPrEx>
          <w:tblCellMar>
            <w:top w:w="0" w:type="dxa"/>
            <w:left w:w="108" w:type="dxa"/>
            <w:bottom w:w="0" w:type="dxa"/>
            <w:right w:w="108" w:type="dxa"/>
          </w:tblCellMar>
        </w:tblPrEx>
        <w:trPr>
          <w:trHeight w:val="562"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833" w:type="dxa"/>
            <w:vMerge w:val="continue"/>
            <w:tcBorders>
              <w:left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sz w:val="20"/>
                <w:szCs w:val="20"/>
              </w:rPr>
            </w:pPr>
          </w:p>
        </w:tc>
        <w:tc>
          <w:tcPr>
            <w:tcW w:w="1732" w:type="dxa"/>
            <w:gridSpan w:val="2"/>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sz w:val="20"/>
                <w:szCs w:val="20"/>
              </w:rPr>
            </w:pPr>
            <w:r>
              <w:rPr>
                <w:rFonts w:hint="eastAsia" w:ascii="Times New Roman" w:hAnsi="Times New Roman" w:cs="宋体"/>
                <w:sz w:val="20"/>
                <w:szCs w:val="20"/>
              </w:rPr>
              <w:t>社会效益指标</w:t>
            </w:r>
          </w:p>
        </w:tc>
        <w:tc>
          <w:tcPr>
            <w:tcW w:w="2963"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粮食安全保障能力</w:t>
            </w:r>
          </w:p>
        </w:tc>
        <w:tc>
          <w:tcPr>
            <w:tcW w:w="326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sz w:val="20"/>
                <w:szCs w:val="20"/>
                <w:lang w:val="en-US" w:eastAsia="zh-CN"/>
              </w:rPr>
            </w:pPr>
            <w:r>
              <w:rPr>
                <w:rFonts w:hint="eastAsia" w:ascii="Times New Roman" w:hAnsi="Times New Roman" w:cs="宋体"/>
                <w:sz w:val="20"/>
                <w:szCs w:val="20"/>
                <w:lang w:val="en-US" w:eastAsia="zh-CN"/>
              </w:rPr>
              <w:t>提高</w:t>
            </w:r>
          </w:p>
        </w:tc>
      </w:tr>
      <w:tr>
        <w:tblPrEx>
          <w:tblCellMar>
            <w:top w:w="0" w:type="dxa"/>
            <w:left w:w="108" w:type="dxa"/>
            <w:bottom w:w="0" w:type="dxa"/>
            <w:right w:w="108" w:type="dxa"/>
          </w:tblCellMar>
        </w:tblPrEx>
        <w:trPr>
          <w:trHeight w:val="562"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833"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1732" w:type="dxa"/>
            <w:gridSpan w:val="2"/>
            <w:tcBorders>
              <w:top w:val="single" w:color="auto" w:sz="4" w:space="0"/>
              <w:left w:val="nil"/>
              <w:bottom w:val="nil"/>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可持续影响指标</w:t>
            </w:r>
          </w:p>
        </w:tc>
        <w:tc>
          <w:tcPr>
            <w:tcW w:w="2963" w:type="dxa"/>
            <w:gridSpan w:val="2"/>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稳定农民生产积极性</w:t>
            </w:r>
          </w:p>
        </w:tc>
        <w:tc>
          <w:tcPr>
            <w:tcW w:w="3268" w:type="dxa"/>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bidi w:val="0"/>
              <w:spacing w:line="560" w:lineRule="exact"/>
              <w:ind w:left="0" w:leftChars="0"/>
              <w:jc w:val="center"/>
              <w:rPr>
                <w:rFonts w:hint="eastAsia"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提高</w:t>
            </w:r>
          </w:p>
        </w:tc>
      </w:tr>
      <w:tr>
        <w:tblPrEx>
          <w:tblCellMar>
            <w:top w:w="0" w:type="dxa"/>
            <w:left w:w="108" w:type="dxa"/>
            <w:bottom w:w="0" w:type="dxa"/>
            <w:right w:w="108" w:type="dxa"/>
          </w:tblCellMar>
        </w:tblPrEx>
        <w:trPr>
          <w:trHeight w:val="1123" w:hRule="atLeast"/>
        </w:trPr>
        <w:tc>
          <w:tcPr>
            <w:tcW w:w="804"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p>
        </w:tc>
        <w:tc>
          <w:tcPr>
            <w:tcW w:w="833"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rPr>
                <w:rFonts w:ascii="Times New Roman" w:hAnsi="Times New Roman" w:cs="宋体"/>
                <w:sz w:val="20"/>
                <w:szCs w:val="20"/>
              </w:rPr>
            </w:pPr>
            <w:r>
              <w:rPr>
                <w:rFonts w:hint="eastAsia" w:ascii="Times New Roman" w:hAnsi="Times New Roman" w:cs="宋体"/>
                <w:sz w:val="20"/>
                <w:szCs w:val="20"/>
              </w:rPr>
              <w:t>满意度指标</w:t>
            </w:r>
          </w:p>
        </w:tc>
        <w:tc>
          <w:tcPr>
            <w:tcW w:w="1732"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ascii="Times New Roman" w:hAnsi="Times New Roman" w:cs="宋体"/>
                <w:sz w:val="20"/>
                <w:szCs w:val="20"/>
              </w:rPr>
            </w:pPr>
            <w:r>
              <w:rPr>
                <w:rFonts w:hint="eastAsia" w:ascii="Times New Roman" w:hAnsi="Times New Roman" w:cs="宋体"/>
                <w:sz w:val="20"/>
                <w:szCs w:val="20"/>
              </w:rPr>
              <w:t>技术指导对象满意度指标</w:t>
            </w:r>
          </w:p>
        </w:tc>
        <w:tc>
          <w:tcPr>
            <w:tcW w:w="2963" w:type="dxa"/>
            <w:gridSpan w:val="2"/>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jc w:val="center"/>
              <w:rPr>
                <w:rFonts w:hint="default" w:ascii="Times New Roman" w:hAnsi="Times New Roman" w:cs="宋体" w:eastAsiaTheme="minorEastAsia"/>
                <w:sz w:val="20"/>
                <w:szCs w:val="20"/>
                <w:lang w:val="en-US" w:eastAsia="zh-CN"/>
              </w:rPr>
            </w:pPr>
            <w:r>
              <w:rPr>
                <w:rFonts w:hint="eastAsia" w:ascii="Times New Roman" w:hAnsi="Times New Roman" w:cs="宋体"/>
                <w:sz w:val="20"/>
                <w:szCs w:val="20"/>
                <w:lang w:val="en-US" w:eastAsia="zh-CN"/>
              </w:rPr>
              <w:t>项目区农户调查满意度</w:t>
            </w:r>
          </w:p>
        </w:tc>
        <w:tc>
          <w:tcPr>
            <w:tcW w:w="326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560" w:lineRule="exact"/>
              <w:ind w:left="0" w:leftChars="0" w:firstLine="1200" w:firstLineChars="600"/>
              <w:jc w:val="both"/>
              <w:rPr>
                <w:rFonts w:hint="default" w:ascii="Times New Roman" w:hAnsi="Times New Roman" w:cs="宋体" w:eastAsiaTheme="minorEastAsia"/>
                <w:sz w:val="20"/>
                <w:szCs w:val="20"/>
                <w:lang w:val="en-US" w:eastAsia="zh-CN"/>
              </w:rPr>
            </w:pPr>
            <w:r>
              <w:rPr>
                <w:rFonts w:hint="eastAsia" w:ascii="Times New Roman" w:hAnsi="Times New Roman" w:eastAsia="宋体" w:cs="宋体"/>
                <w:sz w:val="20"/>
                <w:szCs w:val="20"/>
                <w:lang w:val="en-US" w:eastAsia="zh-CN"/>
              </w:rPr>
              <w:t>≧</w:t>
            </w:r>
            <w:r>
              <w:rPr>
                <w:rFonts w:hint="eastAsia" w:ascii="Times New Roman" w:hAnsi="Times New Roman" w:cs="宋体"/>
                <w:sz w:val="20"/>
                <w:szCs w:val="20"/>
                <w:lang w:val="en-US" w:eastAsia="zh-CN"/>
              </w:rPr>
              <w:t>85%</w:t>
            </w:r>
          </w:p>
        </w:tc>
      </w:tr>
    </w:tbl>
    <w:p>
      <w:pPr>
        <w:pStyle w:val="2"/>
        <w:keepNext w:val="0"/>
        <w:keepLines w:val="0"/>
        <w:pageBreakBefore w:val="0"/>
        <w:kinsoku/>
        <w:wordWrap/>
        <w:overflowPunct/>
        <w:topLinePunct w:val="0"/>
        <w:bidi w:val="0"/>
        <w:snapToGrid/>
        <w:spacing w:after="0" w:line="560" w:lineRule="exact"/>
        <w:ind w:left="0" w:leftChars="0" w:firstLine="0" w:firstLineChars="0"/>
        <w:rPr>
          <w:rFonts w:hint="default" w:ascii="Times New Roman" w:hAnsi="Times New Roman"/>
          <w:lang w:val="en-US" w:eastAsia="zh-CN"/>
        </w:rPr>
      </w:pPr>
      <w:r>
        <w:rPr>
          <w:rFonts w:hint="eastAsia" w:ascii="Times New Roman" w:hAnsi="Times New Roman" w:eastAsia="黑体" w:cs="黑体"/>
          <w:b w:val="0"/>
          <w:bCs w:val="0"/>
          <w:sz w:val="28"/>
          <w:szCs w:val="28"/>
        </w:rPr>
        <w:t>附</w:t>
      </w:r>
      <w:r>
        <w:rPr>
          <w:rFonts w:hint="eastAsia" w:ascii="Times New Roman" w:hAnsi="Times New Roman" w:eastAsia="黑体" w:cs="黑体"/>
          <w:b w:val="0"/>
          <w:bCs w:val="0"/>
          <w:sz w:val="28"/>
          <w:szCs w:val="28"/>
          <w:lang w:eastAsia="zh-CN"/>
        </w:rPr>
        <w:t>表</w:t>
      </w:r>
      <w:r>
        <w:rPr>
          <w:rFonts w:hint="eastAsia" w:ascii="Times New Roman" w:hAnsi="Times New Roman" w:eastAsia="黑体" w:cs="黑体"/>
          <w:b w:val="0"/>
          <w:bCs w:val="0"/>
          <w:sz w:val="28"/>
          <w:szCs w:val="28"/>
          <w:lang w:val="en-US" w:eastAsia="zh-CN"/>
        </w:rPr>
        <w:t xml:space="preserve">1 </w:t>
      </w:r>
    </w:p>
    <w:p>
      <w:pPr>
        <w:pStyle w:val="2"/>
        <w:keepNext w:val="0"/>
        <w:keepLines w:val="0"/>
        <w:pageBreakBefore w:val="0"/>
        <w:kinsoku/>
        <w:wordWrap/>
        <w:overflowPunct/>
        <w:topLinePunct w:val="0"/>
        <w:bidi w:val="0"/>
        <w:snapToGrid/>
        <w:spacing w:after="0" w:line="560" w:lineRule="exact"/>
        <w:ind w:left="0" w:leftChars="0" w:firstLine="0" w:firstLineChars="0"/>
        <w:rPr>
          <w:rFonts w:hint="default" w:ascii="Times New Roman" w:hAnsi="Times New Roman"/>
          <w:lang w:val="en-US" w:eastAsia="zh-CN"/>
        </w:rPr>
        <w:sectPr>
          <w:headerReference r:id="rId9" w:type="default"/>
          <w:footerReference r:id="rId11" w:type="default"/>
          <w:headerReference r:id="rId10" w:type="even"/>
          <w:footerReference r:id="rId12" w:type="even"/>
          <w:pgSz w:w="11906" w:h="16838"/>
          <w:pgMar w:top="1440" w:right="1531" w:bottom="1440" w:left="1644" w:header="851" w:footer="992" w:gutter="0"/>
          <w:pgNumType w:fmt="numberInDash"/>
          <w:cols w:space="720" w:num="1"/>
          <w:docGrid w:type="lines" w:linePitch="312" w:charSpace="0"/>
        </w:sectPr>
      </w:pPr>
    </w:p>
    <w:p>
      <w:pPr>
        <w:pStyle w:val="2"/>
        <w:keepNext w:val="0"/>
        <w:keepLines w:val="0"/>
        <w:pageBreakBefore w:val="0"/>
        <w:kinsoku/>
        <w:wordWrap/>
        <w:overflowPunct/>
        <w:topLinePunct w:val="0"/>
        <w:bidi w:val="0"/>
        <w:snapToGrid/>
        <w:spacing w:after="0" w:line="560" w:lineRule="exact"/>
        <w:ind w:left="0" w:leftChars="0" w:firstLine="0" w:firstLineChars="0"/>
        <w:rPr>
          <w:rFonts w:hint="default" w:ascii="Times New Roman" w:hAnsi="Times New Roman"/>
          <w:lang w:val="en-US" w:eastAsia="zh-CN"/>
        </w:rPr>
      </w:pPr>
    </w:p>
    <w:p>
      <w:pPr>
        <w:pStyle w:val="2"/>
        <w:keepNext w:val="0"/>
        <w:keepLines w:val="0"/>
        <w:pageBreakBefore w:val="0"/>
        <w:kinsoku/>
        <w:wordWrap/>
        <w:overflowPunct/>
        <w:topLinePunct w:val="0"/>
        <w:bidi w:val="0"/>
        <w:snapToGrid/>
        <w:spacing w:after="0" w:line="560" w:lineRule="exact"/>
        <w:ind w:left="0" w:leftChars="0" w:firstLine="0" w:firstLineChars="0"/>
        <w:rPr>
          <w:rFonts w:hint="default" w:ascii="Times New Roman" w:hAnsi="Times New Roman"/>
          <w:lang w:val="en-US" w:eastAsia="zh-CN"/>
        </w:rPr>
      </w:pPr>
    </w:p>
    <w:sectPr>
      <w:footerReference r:id="rId13" w:type="default"/>
      <w:pgSz w:w="11906" w:h="16838"/>
      <w:pgMar w:top="1440" w:right="1531" w:bottom="1440"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NewRomanPSMT">
    <w:altName w:val="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- 5 -</w:t>
                          </w:r>
                          <w:r>
                            <w:rPr>
                              <w:rFonts w:hint="eastAsia" w:eastAsia="宋体"/>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- 5 -</w:t>
                    </w:r>
                    <w:r>
                      <w:rPr>
                        <w:rFonts w:hint="eastAsia" w:eastAsia="宋体"/>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819150</wp:posOffset>
              </wp:positionH>
              <wp:positionV relativeFrom="page">
                <wp:posOffset>6841490</wp:posOffset>
              </wp:positionV>
              <wp:extent cx="603250" cy="140335"/>
              <wp:effectExtent l="0" t="0" r="0" b="0"/>
              <wp:wrapNone/>
              <wp:docPr id="41" name="文本框 41"/>
              <wp:cNvGraphicFramePr/>
              <a:graphic xmlns:a="http://schemas.openxmlformats.org/drawingml/2006/main">
                <a:graphicData uri="http://schemas.microsoft.com/office/word/2010/wordprocessingShape">
                  <wps:wsp>
                    <wps:cNvSpPr txBox="true"/>
                    <wps:spPr>
                      <a:xfrm>
                        <a:off x="0" y="0"/>
                        <a:ext cx="603250" cy="140335"/>
                      </a:xfrm>
                      <a:prstGeom prst="rect">
                        <a:avLst/>
                      </a:prstGeom>
                      <a:noFill/>
                      <a:ln>
                        <a:noFill/>
                      </a:ln>
                      <a:effectLst/>
                    </wps:spPr>
                    <wps:txbx>
                      <w:txbxContent>
                        <w:p>
                          <w:pPr>
                            <w:pStyle w:val="16"/>
                            <w:rPr>
                              <w:sz w:val="30"/>
                              <w:szCs w:val="30"/>
                            </w:rPr>
                          </w:pPr>
                          <w:r>
                            <w:rPr>
                              <w:rFonts w:ascii="Times New Roman" w:hAnsi="Times New Roman" w:eastAsia="Times New Roman"/>
                              <w:color w:val="000000"/>
                              <w:sz w:val="30"/>
                              <w:szCs w:val="30"/>
                              <w:lang w:val="en-US" w:eastAsia="en-US" w:bidi="en-US"/>
                            </w:rPr>
                            <w:t>-</w:t>
                          </w:r>
                          <w:r>
                            <w:fldChar w:fldCharType="begin"/>
                          </w:r>
                          <w:r>
                            <w:instrText xml:space="preserve"> PAGE \* MERGEFORMAT </w:instrText>
                          </w:r>
                          <w:r>
                            <w:fldChar w:fldCharType="separate"/>
                          </w:r>
                          <w:r>
                            <w:rPr>
                              <w:sz w:val="30"/>
                              <w:szCs w:val="30"/>
                              <w:lang w:val="zh-CN" w:eastAsia="zh-CN" w:bidi="zh-CN"/>
                            </w:rPr>
                            <w:t>12</w:t>
                          </w:r>
                          <w:r>
                            <w:rPr>
                              <w:sz w:val="30"/>
                              <w:szCs w:val="30"/>
                              <w:lang w:val="zh-CN" w:eastAsia="zh-CN" w:bidi="zh-CN"/>
                            </w:rPr>
                            <w:fldChar w:fldCharType="end"/>
                          </w:r>
                          <w:r>
                            <w:rPr>
                              <w:rFonts w:ascii="Times New Roman" w:hAnsi="Times New Roman" w:eastAsia="Times New Roman"/>
                              <w:color w:val="000000"/>
                              <w:sz w:val="30"/>
                              <w:szCs w:val="30"/>
                              <w:lang w:val="zh-CN" w:eastAsia="zh-CN" w:bidi="zh-CN"/>
                            </w:rPr>
                            <w:t xml:space="preserve"> </w:t>
                          </w:r>
                          <w:r>
                            <w:rPr>
                              <w:rFonts w:ascii="Times New Roman" w:hAnsi="Times New Roman" w:eastAsia="Times New Roman"/>
                              <w:color w:val="000000"/>
                              <w:sz w:val="30"/>
                              <w:szCs w:val="30"/>
                            </w:rPr>
                            <w:t>-</w:t>
                          </w:r>
                        </w:p>
                      </w:txbxContent>
                    </wps:txbx>
                    <wps:bodyPr wrap="none" lIns="0" tIns="0" rIns="0" bIns="0">
                      <a:spAutoFit/>
                    </wps:bodyPr>
                  </wps:wsp>
                </a:graphicData>
              </a:graphic>
            </wp:anchor>
          </w:drawing>
        </mc:Choice>
        <mc:Fallback>
          <w:pict>
            <v:shape id="_x0000_s1026" o:spid="_x0000_s1026" o:spt="202" type="#_x0000_t202" style="position:absolute;left:0pt;margin-left:64.5pt;margin-top:538.7pt;height:11.05pt;width:47.5pt;mso-position-horizontal-relative:page;mso-position-vertical-relative:page;mso-wrap-style:none;z-index:-251657216;mso-width-relative:page;mso-height-relative:page;" filled="f" stroked="f" coordsize="21600,21600" o:gfxdata="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Fqx4/3WAAAADQEAAA8AAAAAAAAAAQAgAAAAOAAAAGRycy9k&#10;b3ducmV2LnhtbFBLAQIUABQAAAAIAIdO4kAvxduytQEAAFADAAAOAAAAAAAAAAEAIAAAADsBAABk&#10;cnMvZTJvRG9jLnhtbFBLBQYAAAAABgAGAFkBAABiBQAAAAA=&#10;">
              <v:fill on="f" focussize="0,0"/>
              <v:stroke on="f"/>
              <v:imagedata o:title=""/>
              <o:lock v:ext="edit" aspectratio="f"/>
              <v:textbox inset="0mm,0mm,0mm,0mm" style="mso-fit-shape-to-text:t;">
                <w:txbxContent>
                  <w:p>
                    <w:pPr>
                      <w:pStyle w:val="16"/>
                      <w:rPr>
                        <w:sz w:val="30"/>
                        <w:szCs w:val="30"/>
                      </w:rPr>
                    </w:pPr>
                    <w:r>
                      <w:rPr>
                        <w:rFonts w:ascii="Times New Roman" w:hAnsi="Times New Roman" w:eastAsia="Times New Roman"/>
                        <w:color w:val="000000"/>
                        <w:sz w:val="30"/>
                        <w:szCs w:val="30"/>
                        <w:lang w:val="en-US" w:eastAsia="en-US" w:bidi="en-US"/>
                      </w:rPr>
                      <w:t>-</w:t>
                    </w:r>
                    <w:r>
                      <w:fldChar w:fldCharType="begin"/>
                    </w:r>
                    <w:r>
                      <w:instrText xml:space="preserve"> PAGE \* MERGEFORMAT </w:instrText>
                    </w:r>
                    <w:r>
                      <w:fldChar w:fldCharType="separate"/>
                    </w:r>
                    <w:r>
                      <w:rPr>
                        <w:sz w:val="30"/>
                        <w:szCs w:val="30"/>
                        <w:lang w:val="zh-CN" w:eastAsia="zh-CN" w:bidi="zh-CN"/>
                      </w:rPr>
                      <w:t>12</w:t>
                    </w:r>
                    <w:r>
                      <w:rPr>
                        <w:sz w:val="30"/>
                        <w:szCs w:val="30"/>
                        <w:lang w:val="zh-CN" w:eastAsia="zh-CN" w:bidi="zh-CN"/>
                      </w:rPr>
                      <w:fldChar w:fldCharType="end"/>
                    </w:r>
                    <w:r>
                      <w:rPr>
                        <w:rFonts w:ascii="Times New Roman" w:hAnsi="Times New Roman" w:eastAsia="Times New Roman"/>
                        <w:color w:val="000000"/>
                        <w:sz w:val="30"/>
                        <w:szCs w:val="30"/>
                        <w:lang w:val="zh-CN" w:eastAsia="zh-CN" w:bidi="zh-CN"/>
                      </w:rPr>
                      <w:t xml:space="preserve"> </w:t>
                    </w:r>
                    <w:r>
                      <w:rPr>
                        <w:rFonts w:ascii="Times New Roman" w:hAnsi="Times New Roman" w:eastAsia="Times New Roman"/>
                        <w:color w:val="000000"/>
                        <w:sz w:val="30"/>
                        <w:szCs w:val="30"/>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- 4 -</w:t>
                          </w:r>
                          <w:r>
                            <w:rPr>
                              <w:rFonts w:hint="eastAsia" w:eastAsia="宋体"/>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- 4 -</w:t>
                    </w:r>
                    <w:r>
                      <w:rPr>
                        <w:rFonts w:hint="eastAsia" w:eastAsia="宋体"/>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6104255</wp:posOffset>
              </wp:positionH>
              <wp:positionV relativeFrom="page">
                <wp:posOffset>10036175</wp:posOffset>
              </wp:positionV>
              <wp:extent cx="372110" cy="140335"/>
              <wp:effectExtent l="0" t="0" r="0" b="0"/>
              <wp:wrapNone/>
              <wp:docPr id="47" name="文本框 47"/>
              <wp:cNvGraphicFramePr/>
              <a:graphic xmlns:a="http://schemas.openxmlformats.org/drawingml/2006/main">
                <a:graphicData uri="http://schemas.microsoft.com/office/word/2010/wordprocessingShape">
                  <wps:wsp>
                    <wps:cNvSpPr txBox="true"/>
                    <wps:spPr>
                      <a:xfrm>
                        <a:off x="0" y="0"/>
                        <a:ext cx="372110" cy="140335"/>
                      </a:xfrm>
                      <a:prstGeom prst="rect">
                        <a:avLst/>
                      </a:prstGeom>
                      <a:noFill/>
                      <a:ln>
                        <a:noFill/>
                      </a:ln>
                      <a:effectLst/>
                    </wps:spPr>
                    <wps:txbx>
                      <w:txbxContent>
                        <w:p>
                          <w:pPr>
                            <w:pStyle w:val="16"/>
                            <w:rPr>
                              <w:sz w:val="30"/>
                              <w:szCs w:val="30"/>
                            </w:rPr>
                          </w:pPr>
                          <w:r>
                            <w:fldChar w:fldCharType="begin"/>
                          </w:r>
                          <w:r>
                            <w:instrText xml:space="preserve"> PAGE \* MERGEFORMAT </w:instrText>
                          </w:r>
                          <w:r>
                            <w:fldChar w:fldCharType="separate"/>
                          </w:r>
                          <w:r>
                            <w:rPr>
                              <w:rFonts w:ascii="Times New Roman" w:hAnsi="Times New Roman" w:eastAsia="Times New Roman"/>
                              <w:color w:val="000000"/>
                              <w:sz w:val="30"/>
                              <w:szCs w:val="30"/>
                            </w:rPr>
                            <w:t>#</w:t>
                          </w:r>
                          <w:r>
                            <w:rPr>
                              <w:sz w:val="30"/>
                              <w:szCs w:val="30"/>
                            </w:rPr>
                            <w:fldChar w:fldCharType="end"/>
                          </w:r>
                          <w:r>
                            <w:rPr>
                              <w:rFonts w:ascii="Times New Roman" w:hAnsi="Times New Roman" w:eastAsia="Times New Roman"/>
                              <w:color w:val="000000"/>
                              <w:sz w:val="30"/>
                              <w:szCs w:val="30"/>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480.65pt;margin-top:790.25pt;height:11.05pt;width:29.3pt;mso-position-horizontal-relative:page;mso-position-vertical-relative:page;mso-wrap-style:none;z-index:-251656192;mso-width-relative:page;mso-height-relative:page;" filled="f" stroked="f" coordsize="21600,21600" o:gfxdata="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50WwPdkAAAAOAQAADwAAAAAAAAABACAAAAA4AAAAZHJz&#10;L2Rvd25yZXYueG1sUEsBAhQAFAAAAAgAh07iQFUPmmK0AQAAUAMAAA4AAAAAAAAAAQAgAAAAPgEA&#10;AGRycy9lMm9Eb2MueG1sUEsFBgAAAAAGAAYAWQEAAGQFAAAAAA==&#10;">
              <v:fill on="f" focussize="0,0"/>
              <v:stroke on="f"/>
              <v:imagedata o:title=""/>
              <o:lock v:ext="edit" aspectratio="f"/>
              <v:textbox inset="0mm,0mm,0mm,0mm" style="mso-fit-shape-to-text:t;">
                <w:txbxContent>
                  <w:p>
                    <w:pPr>
                      <w:pStyle w:val="16"/>
                      <w:rPr>
                        <w:sz w:val="30"/>
                        <w:szCs w:val="30"/>
                      </w:rPr>
                    </w:pPr>
                    <w:r>
                      <w:fldChar w:fldCharType="begin"/>
                    </w:r>
                    <w:r>
                      <w:instrText xml:space="preserve"> PAGE \* MERGEFORMAT </w:instrText>
                    </w:r>
                    <w:r>
                      <w:fldChar w:fldCharType="separate"/>
                    </w:r>
                    <w:r>
                      <w:rPr>
                        <w:rFonts w:ascii="Times New Roman" w:hAnsi="Times New Roman" w:eastAsia="Times New Roman"/>
                        <w:color w:val="000000"/>
                        <w:sz w:val="30"/>
                        <w:szCs w:val="30"/>
                      </w:rPr>
                      <w:t>#</w:t>
                    </w:r>
                    <w:r>
                      <w:rPr>
                        <w:sz w:val="30"/>
                        <w:szCs w:val="30"/>
                      </w:rPr>
                      <w:fldChar w:fldCharType="end"/>
                    </w:r>
                    <w:r>
                      <w:rPr>
                        <w:rFonts w:ascii="Times New Roman" w:hAnsi="Times New Roman" w:eastAsia="Times New Roman"/>
                        <w:color w:val="000000"/>
                        <w:sz w:val="30"/>
                        <w:szCs w:val="30"/>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- 6 -</w:t>
                          </w:r>
                          <w:r>
                            <w:rPr>
                              <w:rFonts w:hint="eastAsia" w:eastAsia="宋体"/>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FqO20AQAAUgMAAA4AAABkcnMv&#10;ZTJvRG9jLnhtbK1TzW4TMRC+I/EOlu/Em6h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UWo7b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- 6 -</w:t>
                    </w:r>
                    <w:r>
                      <w:rPr>
                        <w:rFonts w:hint="eastAsia" w:eastAsia="宋体"/>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1469F"/>
    <w:multiLevelType w:val="singleLevel"/>
    <w:tmpl w:val="80A146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M2IxYzc4Y2RjMDM4NWZlOTk2MTUyMTU4ZTFiMWYifQ=="/>
  </w:docVars>
  <w:rsids>
    <w:rsidRoot w:val="1D740CD7"/>
    <w:rsid w:val="00951FEE"/>
    <w:rsid w:val="00BC48D5"/>
    <w:rsid w:val="01131678"/>
    <w:rsid w:val="01C42B8B"/>
    <w:rsid w:val="0221510C"/>
    <w:rsid w:val="026226A6"/>
    <w:rsid w:val="026B1259"/>
    <w:rsid w:val="0372705E"/>
    <w:rsid w:val="04152557"/>
    <w:rsid w:val="04BC5D9C"/>
    <w:rsid w:val="04CD795E"/>
    <w:rsid w:val="0619141B"/>
    <w:rsid w:val="070677A2"/>
    <w:rsid w:val="07E13D6B"/>
    <w:rsid w:val="083E2F6B"/>
    <w:rsid w:val="08601134"/>
    <w:rsid w:val="098D5F59"/>
    <w:rsid w:val="0C596BDC"/>
    <w:rsid w:val="0CF51645"/>
    <w:rsid w:val="0DD92454"/>
    <w:rsid w:val="0E345AC2"/>
    <w:rsid w:val="0E8177FF"/>
    <w:rsid w:val="0E8565FE"/>
    <w:rsid w:val="0F2904D1"/>
    <w:rsid w:val="10CA2021"/>
    <w:rsid w:val="11AE07AF"/>
    <w:rsid w:val="121C60CC"/>
    <w:rsid w:val="12950C2A"/>
    <w:rsid w:val="12C946D7"/>
    <w:rsid w:val="141B23B3"/>
    <w:rsid w:val="158226E9"/>
    <w:rsid w:val="15AA0931"/>
    <w:rsid w:val="15CE7C6E"/>
    <w:rsid w:val="1BB455C7"/>
    <w:rsid w:val="1BBB4BA7"/>
    <w:rsid w:val="1BFE4A94"/>
    <w:rsid w:val="1D4D5CD3"/>
    <w:rsid w:val="1D522EA8"/>
    <w:rsid w:val="1D740CD7"/>
    <w:rsid w:val="1DB964C8"/>
    <w:rsid w:val="1DEA52D0"/>
    <w:rsid w:val="1FCE5634"/>
    <w:rsid w:val="208337BA"/>
    <w:rsid w:val="23616034"/>
    <w:rsid w:val="23895ECE"/>
    <w:rsid w:val="23B422B2"/>
    <w:rsid w:val="254B3EF9"/>
    <w:rsid w:val="25B95F12"/>
    <w:rsid w:val="27275A4E"/>
    <w:rsid w:val="278F7FB8"/>
    <w:rsid w:val="28C748FC"/>
    <w:rsid w:val="2AD03A9F"/>
    <w:rsid w:val="2B54647E"/>
    <w:rsid w:val="2C46226B"/>
    <w:rsid w:val="2EB711FE"/>
    <w:rsid w:val="2F800C09"/>
    <w:rsid w:val="2FF86480"/>
    <w:rsid w:val="31AD0696"/>
    <w:rsid w:val="31BB7257"/>
    <w:rsid w:val="32877BB4"/>
    <w:rsid w:val="32C043F9"/>
    <w:rsid w:val="330469DC"/>
    <w:rsid w:val="340C3D9A"/>
    <w:rsid w:val="35CC0E3D"/>
    <w:rsid w:val="391F79E3"/>
    <w:rsid w:val="39845C90"/>
    <w:rsid w:val="399860D0"/>
    <w:rsid w:val="3A3A0F35"/>
    <w:rsid w:val="3B2E2848"/>
    <w:rsid w:val="3B491E82"/>
    <w:rsid w:val="3B646717"/>
    <w:rsid w:val="3B8B7C9A"/>
    <w:rsid w:val="3C7A1ABD"/>
    <w:rsid w:val="3DD376D7"/>
    <w:rsid w:val="3E1201FF"/>
    <w:rsid w:val="3FFF6B86"/>
    <w:rsid w:val="42D857FA"/>
    <w:rsid w:val="42F26851"/>
    <w:rsid w:val="432711D2"/>
    <w:rsid w:val="43FE452E"/>
    <w:rsid w:val="4B781568"/>
    <w:rsid w:val="4BF74ED8"/>
    <w:rsid w:val="4CDA0124"/>
    <w:rsid w:val="4D16313C"/>
    <w:rsid w:val="4FFB2CE1"/>
    <w:rsid w:val="512F0C70"/>
    <w:rsid w:val="542B45EC"/>
    <w:rsid w:val="544558C6"/>
    <w:rsid w:val="54705BD0"/>
    <w:rsid w:val="556F788D"/>
    <w:rsid w:val="55B33C1E"/>
    <w:rsid w:val="576D1387"/>
    <w:rsid w:val="58240F59"/>
    <w:rsid w:val="59E64A75"/>
    <w:rsid w:val="5B200068"/>
    <w:rsid w:val="5BB71F8E"/>
    <w:rsid w:val="5CDC0047"/>
    <w:rsid w:val="5E3D4E87"/>
    <w:rsid w:val="5E562C02"/>
    <w:rsid w:val="5FA234A5"/>
    <w:rsid w:val="5FD41360"/>
    <w:rsid w:val="6051475F"/>
    <w:rsid w:val="622C4C37"/>
    <w:rsid w:val="62A631A0"/>
    <w:rsid w:val="631868D3"/>
    <w:rsid w:val="65EF485A"/>
    <w:rsid w:val="672D0F3D"/>
    <w:rsid w:val="67917B37"/>
    <w:rsid w:val="691279FA"/>
    <w:rsid w:val="693E1400"/>
    <w:rsid w:val="69AC6DCF"/>
    <w:rsid w:val="6A0B6D5A"/>
    <w:rsid w:val="6A0E36C1"/>
    <w:rsid w:val="6A8A5EAB"/>
    <w:rsid w:val="6BDE10F8"/>
    <w:rsid w:val="6C586E75"/>
    <w:rsid w:val="6CC664D5"/>
    <w:rsid w:val="6D6002E5"/>
    <w:rsid w:val="6EA6211A"/>
    <w:rsid w:val="723B4BE1"/>
    <w:rsid w:val="723F566C"/>
    <w:rsid w:val="74370E4D"/>
    <w:rsid w:val="75971670"/>
    <w:rsid w:val="76833DED"/>
    <w:rsid w:val="77304C77"/>
    <w:rsid w:val="78A91B82"/>
    <w:rsid w:val="7BDA1655"/>
    <w:rsid w:val="7C033BC9"/>
    <w:rsid w:val="7CCA0287"/>
    <w:rsid w:val="7D4709FB"/>
    <w:rsid w:val="7E154BC6"/>
    <w:rsid w:val="7E851D4C"/>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autoSpaceDE w:val="0"/>
      <w:autoSpaceDN w:val="0"/>
      <w:adjustRightInd w:val="0"/>
      <w:spacing w:line="360" w:lineRule="auto"/>
      <w:ind w:left="200" w:firstLine="420" w:firstLineChars="200"/>
      <w:jc w:val="both"/>
      <w:textAlignment w:val="bottom"/>
    </w:pPr>
    <w:rPr>
      <w:rFonts w:eastAsia="宋体"/>
      <w:color w:val="auto"/>
      <w:sz w:val="28"/>
      <w:szCs w:val="20"/>
      <w:lang w:eastAsia="zh-CN" w:bidi="ar-SA"/>
    </w:rPr>
  </w:style>
  <w:style w:type="paragraph" w:styleId="3">
    <w:name w:val="Body Text Indent"/>
    <w:basedOn w:val="1"/>
    <w:unhideWhenUsed/>
    <w:qFormat/>
    <w:uiPriority w:val="99"/>
    <w:pPr>
      <w:spacing w:after="120"/>
      <w:ind w:left="420" w:leftChars="20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eading #2|1"/>
    <w:basedOn w:val="1"/>
    <w:qFormat/>
    <w:uiPriority w:val="0"/>
    <w:pPr>
      <w:spacing w:after="470" w:line="276" w:lineRule="auto"/>
      <w:jc w:val="center"/>
      <w:outlineLvl w:val="1"/>
    </w:pPr>
    <w:rPr>
      <w:rFonts w:ascii="宋体" w:hAnsi="宋体" w:eastAsia="宋体" w:cs="宋体"/>
      <w:color w:val="auto"/>
      <w:kern w:val="2"/>
      <w:sz w:val="42"/>
      <w:szCs w:val="42"/>
      <w:lang w:val="zh-TW" w:eastAsia="zh-TW" w:bidi="zh-TW"/>
    </w:rPr>
  </w:style>
  <w:style w:type="paragraph" w:customStyle="1" w:styleId="12">
    <w:name w:val="Body text|1"/>
    <w:basedOn w:val="1"/>
    <w:qFormat/>
    <w:uiPriority w:val="0"/>
    <w:pPr>
      <w:spacing w:line="422" w:lineRule="auto"/>
      <w:ind w:firstLine="400"/>
    </w:pPr>
    <w:rPr>
      <w:rFonts w:ascii="宋体" w:hAnsi="宋体" w:eastAsia="宋体" w:cs="宋体"/>
      <w:color w:val="auto"/>
      <w:kern w:val="2"/>
      <w:sz w:val="30"/>
      <w:szCs w:val="30"/>
      <w:lang w:val="zh-TW" w:eastAsia="zh-TW" w:bidi="zh-TW"/>
    </w:rPr>
  </w:style>
  <w:style w:type="paragraph" w:customStyle="1" w:styleId="13">
    <w:name w:val="Other|1"/>
    <w:basedOn w:val="1"/>
    <w:qFormat/>
    <w:uiPriority w:val="0"/>
    <w:pPr>
      <w:spacing w:line="422" w:lineRule="auto"/>
      <w:ind w:firstLine="400"/>
    </w:pPr>
    <w:rPr>
      <w:rFonts w:ascii="宋体" w:hAnsi="宋体" w:eastAsia="宋体" w:cs="宋体"/>
      <w:color w:val="auto"/>
      <w:kern w:val="2"/>
      <w:sz w:val="30"/>
      <w:szCs w:val="30"/>
      <w:lang w:val="zh-TW" w:eastAsia="zh-TW" w:bidi="zh-TW"/>
    </w:rPr>
  </w:style>
  <w:style w:type="paragraph" w:customStyle="1" w:styleId="14">
    <w:name w:val="Body text|2"/>
    <w:basedOn w:val="1"/>
    <w:qFormat/>
    <w:uiPriority w:val="0"/>
    <w:pPr>
      <w:spacing w:line="601" w:lineRule="exact"/>
      <w:ind w:left="2880"/>
    </w:pPr>
    <w:rPr>
      <w:rFonts w:ascii="Calibri" w:hAnsi="Calibri" w:eastAsia="宋体" w:cs="Times New Roman"/>
      <w:color w:val="auto"/>
      <w:kern w:val="2"/>
      <w:sz w:val="30"/>
      <w:szCs w:val="30"/>
      <w:lang w:eastAsia="zh-CN" w:bidi="ar-SA"/>
    </w:rPr>
  </w:style>
  <w:style w:type="paragraph" w:customStyle="1" w:styleId="15">
    <w:name w:val="Header or footer|2"/>
    <w:basedOn w:val="1"/>
    <w:qFormat/>
    <w:uiPriority w:val="0"/>
    <w:rPr>
      <w:rFonts w:ascii="Calibri" w:hAnsi="Calibri" w:eastAsia="宋体" w:cs="Times New Roman"/>
      <w:color w:val="auto"/>
      <w:kern w:val="2"/>
      <w:sz w:val="21"/>
      <w:szCs w:val="22"/>
      <w:lang w:val="zh-TW" w:eastAsia="zh-TW" w:bidi="zh-TW"/>
    </w:rPr>
  </w:style>
  <w:style w:type="paragraph" w:customStyle="1" w:styleId="16">
    <w:name w:val="Header or footer|1"/>
    <w:basedOn w:val="1"/>
    <w:qFormat/>
    <w:uiPriority w:val="0"/>
    <w:rPr>
      <w:rFonts w:ascii="Calibri" w:hAnsi="Calibri" w:eastAsia="宋体" w:cs="Times New Roman"/>
      <w:color w:val="auto"/>
      <w:kern w:val="2"/>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3991</Words>
  <Characters>4101</Characters>
  <Lines>0</Lines>
  <Paragraphs>0</Paragraphs>
  <TotalTime>0</TotalTime>
  <ScaleCrop>false</ScaleCrop>
  <LinksUpToDate>false</LinksUpToDate>
  <CharactersWithSpaces>4173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2022-04-18T10:30:00Z</dcterms:created>
  <dc:creator>溟</dc:creator>
  <cp:lastModifiedBy>kylin</cp:lastModifiedBy>
  <cp:lastPrinted>2023-05-22T10:12:00Z</cp:lastPrinted>
  <dcterms:modified xsi:type="dcterms:W3CDTF">2024-03-28T09:51:19Z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D33E6C7DF0524F05BE0436FD467BFDAC_13</vt:lpwstr>
  </property>
  <property fmtid="{D5CDD505-2E9C-101B-9397-08002B2CF9AE}" pid="4" name="commondata">
    <vt:lpwstr>eyJoZGlkIjoiMjQxM2UyZDg1MjQyZTc1MjYwM2EwYjdhZTFkNGFhOTcifQ==</vt:lpwstr>
  </property>
</Properties>
</file>