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outlineLvl w:val="9"/>
        <w:rPr>
          <w:rFonts w:hint="eastAsia" w:ascii="Times New Roman" w:hAnsi="Times New Roman" w:eastAsia="方正小标宋简体" w:cs="Times New Roman"/>
          <w:kern w:val="2"/>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jc w:val="center"/>
        <w:textAlignment w:val="auto"/>
        <w:outlineLvl w:val="9"/>
        <w:rPr>
          <w:rFonts w:hint="eastAsia" w:ascii="黑体" w:hAnsi="黑体" w:eastAsia="黑体" w:cs="黑体"/>
          <w:kern w:val="2"/>
          <w:sz w:val="32"/>
          <w:szCs w:val="32"/>
          <w:lang w:val="en-US" w:eastAsia="zh-CN"/>
        </w:rPr>
      </w:pPr>
      <w:bookmarkStart w:id="0" w:name="_GoBack"/>
      <w:r>
        <w:rPr>
          <w:rFonts w:hint="eastAsia" w:ascii="Times New Roman" w:hAnsi="Times New Roman" w:eastAsia="方正小标宋简体" w:cs="Times New Roman"/>
          <w:kern w:val="2"/>
          <w:sz w:val="44"/>
          <w:szCs w:val="44"/>
          <w:lang w:val="en-US" w:eastAsia="zh-CN"/>
        </w:rPr>
        <w:t>海原县2022年重点项目和重大政策绩效管理工作专报</w:t>
      </w:r>
    </w:p>
    <w:bookmarkEnd w:id="0"/>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bidi="ar-SA"/>
        </w:rPr>
        <w:t>今年以来，县财政部门认真贯彻各级党委、政府关于全面实施预算绩效管理的决策部署，牢固树立绩效理念，把全过程预算绩效管理作为深化财政改革，推进社会治理，提高财政资金效益的突破口和切入点，切实加强政策学习和业务指导，压实</w:t>
      </w:r>
      <w:r>
        <w:rPr>
          <w:rFonts w:hint="default" w:ascii="Times New Roman" w:hAnsi="Times New Roman" w:eastAsia="仿宋_GB2312" w:cs="Times New Roman"/>
          <w:kern w:val="0"/>
          <w:sz w:val="32"/>
          <w:szCs w:val="32"/>
          <w:lang w:val="en-US" w:eastAsia="zh-CN" w:bidi="ar-SA"/>
        </w:rPr>
        <w:t>绩效管理责任，</w:t>
      </w:r>
      <w:r>
        <w:rPr>
          <w:rFonts w:hint="default" w:ascii="Times New Roman" w:hAnsi="Times New Roman" w:eastAsia="仿宋_GB2312" w:cs="Times New Roman"/>
          <w:kern w:val="32"/>
          <w:sz w:val="32"/>
          <w:szCs w:val="32"/>
        </w:rPr>
        <w:t>着力构建</w:t>
      </w:r>
      <w:r>
        <w:rPr>
          <w:rFonts w:hint="default" w:ascii="Times New Roman" w:hAnsi="Times New Roman" w:eastAsia="仿宋_GB2312" w:cs="Times New Roman"/>
          <w:sz w:val="32"/>
          <w:szCs w:val="32"/>
        </w:rPr>
        <w:t>全方位、全过程、全覆盖的预算绩效管理体系。</w:t>
      </w:r>
      <w:r>
        <w:rPr>
          <w:rFonts w:hint="eastAsia" w:ascii="Times New Roman" w:hAnsi="Times New Roman" w:eastAsia="仿宋_GB2312" w:cs="Times New Roman"/>
          <w:sz w:val="32"/>
          <w:szCs w:val="32"/>
          <w:lang w:eastAsia="zh-CN"/>
        </w:rPr>
        <w:t>在加强绩效目标管理、制度机制建设等基础工作的同时，积极推进绩效评价和中期执行监控等工作。</w:t>
      </w:r>
      <w:r>
        <w:rPr>
          <w:rFonts w:hint="eastAsia" w:ascii="Times New Roman" w:hAnsi="Times New Roman" w:eastAsia="仿宋" w:cs="Times New Roman"/>
          <w:sz w:val="32"/>
          <w:szCs w:val="32"/>
          <w:lang w:val="en-US" w:eastAsia="zh-CN"/>
        </w:rPr>
        <w:t>现将有关情况专报如下：</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一、第三方绩效评价情况</w:t>
      </w:r>
    </w:p>
    <w:p>
      <w:pPr>
        <w:pStyle w:val="1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2022年</w:t>
      </w:r>
      <w:r>
        <w:rPr>
          <w:rFonts w:hint="eastAsia" w:ascii="Times New Roman" w:hAnsi="Times New Roman" w:eastAsia="仿宋" w:cs="Times New Roman"/>
          <w:sz w:val="32"/>
          <w:szCs w:val="32"/>
          <w:lang w:val="en-US" w:eastAsia="zh-CN"/>
        </w:rPr>
        <w:t>第一批第三方绩效评价重点项目6个，评价资金1.59亿元，现已完成评价。对于评价发现的问题，已反馈被评价单位开展整改，具体情况如下：</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sz w:val="32"/>
          <w:szCs w:val="32"/>
          <w:lang w:val="en-US" w:eastAsia="zh-CN"/>
        </w:rPr>
        <w:t>（一）县水务局：</w:t>
      </w:r>
      <w:r>
        <w:rPr>
          <w:rFonts w:hint="eastAsia" w:ascii="楷体" w:hAnsi="楷体" w:eastAsia="楷体" w:cs="楷体"/>
          <w:b/>
          <w:bCs/>
          <w:kern w:val="2"/>
          <w:sz w:val="32"/>
          <w:szCs w:val="32"/>
          <w:lang w:val="en-US" w:eastAsia="zh-CN"/>
        </w:rPr>
        <w:t>2021年农村供水配水管网改造项目。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default" w:ascii="Times New Roman" w:hAnsi="Times New Roman" w:eastAsia="仿宋" w:cs="Times New Roman"/>
          <w:b w:val="0"/>
          <w:bCs w:val="0"/>
          <w:kern w:val="2"/>
          <w:sz w:val="32"/>
          <w:szCs w:val="32"/>
          <w:lang w:val="en-US" w:eastAsia="zh-CN"/>
        </w:rPr>
        <w:t>该项目</w:t>
      </w:r>
      <w:r>
        <w:rPr>
          <w:rFonts w:hint="eastAsia" w:ascii="Times New Roman" w:hAnsi="Times New Roman" w:eastAsia="仿宋_GB2312" w:cs="Times New Roman"/>
          <w:kern w:val="2"/>
          <w:sz w:val="32"/>
          <w:szCs w:val="32"/>
          <w:lang w:val="en-US" w:eastAsia="zh-CN"/>
        </w:rPr>
        <w:t>根据《关于印发海原县2021年统筹整合使用财政涉农资金（年初）实施方案的通知》（海党农办发</w:t>
      </w:r>
      <w:r>
        <w:rPr>
          <w:rFonts w:hint="default" w:ascii="Times New Roman" w:hAnsi="Times New Roman" w:eastAsia="仿宋_GB2312" w:cs="Times New Roman"/>
          <w:kern w:val="2"/>
          <w:sz w:val="32"/>
          <w:szCs w:val="32"/>
          <w:lang w:val="en-US" w:eastAsia="zh-CN"/>
        </w:rPr>
        <w:t>〔2021〕</w:t>
      </w:r>
      <w:r>
        <w:rPr>
          <w:rFonts w:hint="eastAsia" w:ascii="Times New Roman" w:hAnsi="Times New Roman" w:eastAsia="仿宋_GB2312" w:cs="Times New Roman"/>
          <w:kern w:val="2"/>
          <w:sz w:val="32"/>
          <w:szCs w:val="32"/>
          <w:lang w:val="en-US" w:eastAsia="zh-CN"/>
        </w:rPr>
        <w:t>1号）安排，资金来源为财政涉农整合资金</w:t>
      </w:r>
      <w:r>
        <w:rPr>
          <w:rFonts w:hint="default" w:ascii="Times New Roman" w:hAnsi="Times New Roman" w:eastAsia="仿宋_GB2312" w:cs="Times New Roman"/>
          <w:kern w:val="2"/>
          <w:sz w:val="32"/>
          <w:szCs w:val="32"/>
          <w:lang w:val="en-US" w:eastAsia="zh-CN"/>
        </w:rPr>
        <w:t>。</w:t>
      </w:r>
      <w:r>
        <w:rPr>
          <w:rFonts w:hint="eastAsia" w:ascii="Times New Roman" w:hAnsi="Times New Roman" w:eastAsia="仿宋_GB2312" w:cs="Times New Roman"/>
          <w:kern w:val="2"/>
          <w:sz w:val="32"/>
          <w:szCs w:val="32"/>
          <w:lang w:val="en-US" w:eastAsia="zh-CN"/>
        </w:rPr>
        <w:t>项目</w:t>
      </w:r>
      <w:r>
        <w:rPr>
          <w:rFonts w:hint="eastAsia" w:ascii="Times New Roman" w:hAnsi="Times New Roman" w:eastAsia="仿宋" w:cs="Times New Roman"/>
          <w:b w:val="0"/>
          <w:bCs w:val="0"/>
          <w:kern w:val="2"/>
          <w:sz w:val="32"/>
          <w:szCs w:val="32"/>
          <w:lang w:val="en-US" w:eastAsia="zh-CN"/>
        </w:rPr>
        <w:t>合同</w:t>
      </w:r>
      <w:r>
        <w:rPr>
          <w:rFonts w:hint="default" w:ascii="Times New Roman" w:hAnsi="Times New Roman" w:eastAsia="仿宋" w:cs="Times New Roman"/>
          <w:b w:val="0"/>
          <w:bCs w:val="0"/>
          <w:kern w:val="2"/>
          <w:sz w:val="32"/>
          <w:szCs w:val="32"/>
          <w:lang w:val="en-US" w:eastAsia="zh-CN"/>
        </w:rPr>
        <w:t>价1471万元，</w:t>
      </w:r>
      <w:r>
        <w:rPr>
          <w:rFonts w:hint="default" w:ascii="Times New Roman" w:hAnsi="Times New Roman" w:eastAsia="仿宋_GB2312" w:cs="Times New Roman"/>
          <w:kern w:val="2"/>
          <w:sz w:val="32"/>
          <w:szCs w:val="32"/>
          <w:lang w:val="en-US" w:eastAsia="zh-CN"/>
        </w:rPr>
        <w:t>实际到位资金1452万元，</w:t>
      </w:r>
      <w:r>
        <w:rPr>
          <w:rFonts w:hint="eastAsia" w:ascii="Times New Roman" w:hAnsi="Times New Roman" w:eastAsia="仿宋_GB2312" w:cs="Times New Roman"/>
          <w:kern w:val="2"/>
          <w:sz w:val="32"/>
          <w:szCs w:val="32"/>
          <w:lang w:val="en-US" w:eastAsia="zh-CN"/>
        </w:rPr>
        <w:t>主要建设内容为</w:t>
      </w:r>
      <w:r>
        <w:rPr>
          <w:rFonts w:hint="default" w:ascii="Times New Roman" w:hAnsi="Times New Roman" w:eastAsia="仿宋_GB2312" w:cs="Times New Roman"/>
          <w:kern w:val="2"/>
          <w:sz w:val="32"/>
          <w:szCs w:val="32"/>
          <w:lang w:val="en-US" w:eastAsia="zh-CN"/>
        </w:rPr>
        <w:t>管道改造、泵站</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入户</w:t>
      </w:r>
      <w:r>
        <w:rPr>
          <w:rFonts w:hint="eastAsia" w:ascii="Times New Roman" w:hAnsi="Times New Roman" w:eastAsia="仿宋_GB2312" w:cs="Times New Roman"/>
          <w:kern w:val="2"/>
          <w:sz w:val="32"/>
          <w:szCs w:val="32"/>
          <w:lang w:val="en-US" w:eastAsia="zh-CN"/>
        </w:rPr>
        <w:t>及</w:t>
      </w:r>
      <w:r>
        <w:rPr>
          <w:rFonts w:hint="default" w:ascii="Times New Roman" w:hAnsi="Times New Roman" w:eastAsia="仿宋_GB2312" w:cs="Times New Roman"/>
          <w:kern w:val="2"/>
          <w:sz w:val="32"/>
          <w:szCs w:val="32"/>
          <w:lang w:val="en-US" w:eastAsia="zh-CN"/>
        </w:rPr>
        <w:t>自动化工程</w:t>
      </w:r>
      <w:r>
        <w:rPr>
          <w:rFonts w:hint="eastAsia" w:ascii="Times New Roman" w:hAnsi="Times New Roman" w:eastAsia="仿宋_GB2312" w:cs="Times New Roman"/>
          <w:kern w:val="2"/>
          <w:sz w:val="32"/>
          <w:szCs w:val="32"/>
          <w:lang w:val="en-US" w:eastAsia="zh-CN"/>
        </w:rPr>
        <w:t>等。截至评价日2022年5月31日</w:t>
      </w:r>
      <w:r>
        <w:rPr>
          <w:rFonts w:hint="default" w:ascii="Times New Roman" w:hAnsi="Times New Roman" w:eastAsia="仿宋_GB2312" w:cs="Times New Roman"/>
          <w:kern w:val="2"/>
          <w:sz w:val="32"/>
          <w:szCs w:val="32"/>
          <w:lang w:val="en-US" w:eastAsia="zh-CN"/>
        </w:rPr>
        <w:t>，实际支出1305万元，预算执行率为89.87%。</w:t>
      </w:r>
      <w:r>
        <w:rPr>
          <w:rFonts w:hint="eastAsia" w:ascii="仿宋" w:hAnsi="仿宋" w:eastAsia="仿宋" w:cs="仿宋"/>
          <w:b w:val="0"/>
          <w:bCs w:val="0"/>
          <w:kern w:val="2"/>
          <w:sz w:val="32"/>
          <w:szCs w:val="32"/>
          <w:lang w:val="en-US" w:eastAsia="zh-CN"/>
        </w:rPr>
        <w:t>第三方绩效</w:t>
      </w:r>
      <w:r>
        <w:rPr>
          <w:rFonts w:hint="eastAsia" w:ascii="仿宋" w:hAnsi="仿宋" w:eastAsia="仿宋" w:cs="仿宋"/>
          <w:b w:val="0"/>
          <w:bCs w:val="0"/>
          <w:sz w:val="32"/>
          <w:szCs w:val="32"/>
          <w:lang w:val="en-US" w:eastAsia="zh-CN"/>
        </w:rPr>
        <w:t>评价发现的问题主要有以下方面：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绩效目标需进一步细化、量化。</w:t>
      </w:r>
      <w:r>
        <w:rPr>
          <w:rFonts w:hint="default" w:ascii="Times New Roman" w:hAnsi="Times New Roman" w:eastAsia="仿宋_GB2312" w:cs="Times New Roman"/>
          <w:sz w:val="32"/>
          <w:szCs w:val="32"/>
          <w:lang w:val="en-US" w:eastAsia="zh-CN"/>
        </w:rPr>
        <w:t>项目实施单位仅确定了资金使用率、执行率、工程质量、进度是否滞后、项目资料规范完整等预期目标，但未设置清晰、细化及可衡量的绩效目标指标。</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档案管理需要进一步完善。</w:t>
      </w:r>
      <w:r>
        <w:rPr>
          <w:rFonts w:hint="default" w:ascii="Times New Roman" w:hAnsi="Times New Roman" w:eastAsia="仿宋_GB2312" w:cs="Times New Roman"/>
          <w:sz w:val="32"/>
          <w:szCs w:val="32"/>
          <w:lang w:val="en-US" w:eastAsia="zh-CN"/>
        </w:rPr>
        <w:t>该项目在档案管理方面依旧存在不足，入户花名册、竣工图纸、建设内容的变更手续等资料存档不及时。</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 w:cs="Times New Roman"/>
          <w:sz w:val="32"/>
          <w:szCs w:val="32"/>
          <w:lang w:val="en-US" w:eastAsia="zh-CN"/>
        </w:rPr>
        <w:t>------</w:t>
      </w:r>
      <w:r>
        <w:rPr>
          <w:rFonts w:hint="eastAsia" w:ascii="仿宋" w:hAnsi="仿宋" w:eastAsia="仿宋" w:cs="仿宋"/>
          <w:b/>
          <w:bCs/>
          <w:sz w:val="32"/>
          <w:szCs w:val="32"/>
          <w:lang w:val="en-US" w:eastAsia="zh-CN"/>
        </w:rPr>
        <w:t>项目前期规划调研充分度不足。</w:t>
      </w:r>
      <w:r>
        <w:rPr>
          <w:rFonts w:hint="eastAsia" w:ascii="仿宋" w:hAnsi="仿宋" w:eastAsia="仿宋" w:cs="仿宋"/>
          <w:b w:val="0"/>
          <w:bCs w:val="0"/>
          <w:sz w:val="32"/>
          <w:szCs w:val="32"/>
          <w:lang w:val="en-US" w:eastAsia="zh-CN"/>
        </w:rPr>
        <w:t>评价发现该</w:t>
      </w:r>
      <w:r>
        <w:rPr>
          <w:rFonts w:hint="default" w:ascii="Times New Roman" w:hAnsi="Times New Roman" w:eastAsia="仿宋_GB2312" w:cs="Times New Roman"/>
          <w:b w:val="0"/>
          <w:bCs w:val="0"/>
          <w:sz w:val="32"/>
          <w:szCs w:val="32"/>
          <w:lang w:val="en-US" w:eastAsia="zh-CN"/>
        </w:rPr>
        <w:t>项目在前期规划中，由于调研</w:t>
      </w:r>
      <w:r>
        <w:rPr>
          <w:rFonts w:hint="eastAsia" w:ascii="Times New Roman" w:hAnsi="Times New Roman" w:eastAsia="仿宋_GB2312" w:cs="Times New Roman"/>
          <w:b w:val="0"/>
          <w:bCs w:val="0"/>
          <w:sz w:val="32"/>
          <w:szCs w:val="32"/>
          <w:lang w:val="en-US" w:eastAsia="zh-CN"/>
        </w:rPr>
        <w:t>工作不充分</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后期发现</w:t>
      </w:r>
      <w:r>
        <w:rPr>
          <w:rFonts w:hint="default" w:ascii="Times New Roman" w:hAnsi="Times New Roman" w:eastAsia="仿宋_GB2312" w:cs="Times New Roman"/>
          <w:b w:val="0"/>
          <w:bCs w:val="0"/>
          <w:sz w:val="32"/>
          <w:szCs w:val="32"/>
          <w:lang w:val="en-US" w:eastAsia="zh-CN"/>
        </w:rPr>
        <w:t>汉墓群，</w:t>
      </w:r>
      <w:r>
        <w:rPr>
          <w:rFonts w:hint="eastAsia" w:ascii="Times New Roman" w:hAnsi="Times New Roman" w:eastAsia="仿宋_GB2312" w:cs="Times New Roman"/>
          <w:b w:val="0"/>
          <w:bCs w:val="0"/>
          <w:sz w:val="32"/>
          <w:szCs w:val="32"/>
          <w:lang w:val="en-US" w:eastAsia="zh-CN"/>
        </w:rPr>
        <w:t>需要绕开，</w:t>
      </w:r>
      <w:r>
        <w:rPr>
          <w:rFonts w:hint="default" w:ascii="Times New Roman" w:hAnsi="Times New Roman" w:eastAsia="仿宋_GB2312" w:cs="Times New Roman"/>
          <w:b w:val="0"/>
          <w:bCs w:val="0"/>
          <w:sz w:val="32"/>
          <w:szCs w:val="32"/>
          <w:lang w:val="en-US" w:eastAsia="zh-CN"/>
        </w:rPr>
        <w:t>导致施工成本有所增加。</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kern w:val="2"/>
          <w:sz w:val="32"/>
          <w:szCs w:val="32"/>
          <w:lang w:val="en-US" w:eastAsia="zh-CN"/>
        </w:rPr>
        <w:t>（二）县乡村振兴局：</w:t>
      </w:r>
      <w:r>
        <w:rPr>
          <w:rFonts w:hint="eastAsia" w:ascii="楷体" w:hAnsi="楷体" w:eastAsia="楷体" w:cs="楷体"/>
          <w:b/>
          <w:bCs/>
          <w:sz w:val="32"/>
          <w:szCs w:val="32"/>
          <w:lang w:val="en-US" w:eastAsia="zh-CN"/>
        </w:rPr>
        <w:t>2021年过渡期扶贫龙头企业、扶贫示范合作社、农村致富带头人信贷贴息资金项目。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sz w:val="32"/>
          <w:szCs w:val="32"/>
          <w:lang w:val="en-US" w:eastAsia="zh-CN"/>
        </w:rPr>
        <w:t>该项目根据《关于印发海原县2021年统筹整合资金使用财政涉农资金（调整）实施方案的通知》（海党农发﹝2021﹞4号）文件安排，资金来源为财政涉农整合资金，共安排项目资金300万元。此外，县乡村振兴局将历年结余脱贫人口小额信贷贴息资金100.84万元以及其他财政专项资金22.5135万元用于该项目。共筹措贴息项目资金423.3535万元。截至2021年12月31日，该项目资金执行率为100%。经县乡村振兴局核算，该项目贴息贷款总额共计17572.12万元，应兑付资金487.13万元，缺口63.78万元。</w:t>
      </w:r>
      <w:r>
        <w:rPr>
          <w:rFonts w:hint="eastAsia" w:ascii="仿宋" w:hAnsi="仿宋" w:eastAsia="仿宋" w:cs="仿宋"/>
          <w:b w:val="0"/>
          <w:bCs w:val="0"/>
          <w:kern w:val="2"/>
          <w:sz w:val="32"/>
          <w:szCs w:val="32"/>
          <w:lang w:val="en-US" w:eastAsia="zh-CN"/>
        </w:rPr>
        <w:t>第三方绩效</w:t>
      </w:r>
      <w:r>
        <w:rPr>
          <w:rFonts w:hint="eastAsia" w:ascii="仿宋" w:hAnsi="仿宋" w:eastAsia="仿宋" w:cs="仿宋"/>
          <w:b w:val="0"/>
          <w:bCs w:val="0"/>
          <w:sz w:val="32"/>
          <w:szCs w:val="32"/>
          <w:lang w:val="en-US" w:eastAsia="zh-CN"/>
        </w:rPr>
        <w:t>评价发现的问题主要有以下方面：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绩效管理工作不到位。</w:t>
      </w:r>
      <w:r>
        <w:rPr>
          <w:rFonts w:hint="eastAsia" w:ascii="Times New Roman" w:hAnsi="Times New Roman" w:eastAsia="仿宋_GB2312" w:cs="Times New Roman"/>
          <w:sz w:val="32"/>
          <w:szCs w:val="32"/>
          <w:lang w:val="en-US" w:eastAsia="zh-CN"/>
        </w:rPr>
        <w:t>项目实施主体预算绩效管理意识不够深入，项目预算额度未能提供充分的测算依据，贴息资金兑付后产生的效益未跟踪落实。</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擅自调整扩大项目造成资金缺口。</w:t>
      </w:r>
      <w:r>
        <w:rPr>
          <w:rFonts w:hint="eastAsia" w:ascii="Times New Roman" w:hAnsi="Times New Roman" w:eastAsia="仿宋_GB2312" w:cs="Times New Roman"/>
          <w:b w:val="0"/>
          <w:bCs w:val="0"/>
          <w:sz w:val="32"/>
          <w:szCs w:val="32"/>
          <w:lang w:val="en-US" w:eastAsia="zh-CN"/>
        </w:rPr>
        <w:t>该项目经县委农村工作领导小组2021年财政涉农资金统筹整合方案安排项目资金300万元。但在具体实施过程中，未经县委农村工作领导小组研究审定，</w:t>
      </w:r>
      <w:r>
        <w:rPr>
          <w:rFonts w:hint="eastAsia" w:ascii="Times New Roman" w:hAnsi="Times New Roman" w:eastAsia="仿宋_GB2312" w:cs="Times New Roman"/>
          <w:sz w:val="32"/>
          <w:szCs w:val="32"/>
          <w:lang w:val="en-US" w:eastAsia="zh-CN"/>
        </w:rPr>
        <w:t>县乡村振兴局擅自扩大项目补贴范围至487.13万元，导致形成缺口。</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b/>
          <w:bCs/>
          <w:sz w:val="32"/>
          <w:szCs w:val="32"/>
          <w:lang w:val="en-US" w:eastAsia="zh-CN"/>
        </w:rPr>
        <w:t>未经统筹整合方案安排擅自使用结余资金。</w:t>
      </w:r>
      <w:r>
        <w:rPr>
          <w:rFonts w:hint="eastAsia" w:ascii="Times New Roman" w:hAnsi="Times New Roman" w:eastAsia="仿宋_GB2312" w:cs="Times New Roman"/>
          <w:sz w:val="32"/>
          <w:szCs w:val="32"/>
          <w:lang w:val="en-US" w:eastAsia="zh-CN"/>
        </w:rPr>
        <w:t>县乡村振兴局《关于调整使用2021年脱贫人口小额信贷贴息资金的报告》（海乡振发﹝2021﹞60号），将应纳入统筹整合方案二次分配的脱贫人口小额信贷等整合范围的专项资金，自行整合安排用于扩大范围后贴息项目资金支付。</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（三）县农业农村局：2021年扬黄灌区2.08万亩高效节灌工程（七营镇、三河镇试点项目）。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bidi="ar-SA"/>
        </w:rPr>
      </w:pPr>
      <w:r>
        <w:rPr>
          <w:rFonts w:hint="eastAsia" w:ascii="Times New Roman" w:hAnsi="Times New Roman" w:eastAsia="仿宋_GB2312" w:cs="Times New Roman"/>
          <w:sz w:val="32"/>
          <w:szCs w:val="32"/>
          <w:lang w:val="en-US" w:eastAsia="zh-CN"/>
        </w:rPr>
        <w:t>该项目计划发展高效节灌面积2.08万亩，其中七营镇1.29万亩（五营村、马莲村）、三河镇0.79万亩（小河村）。项目总投资10543.48万元，其中七营镇7259.15万元、三河镇3284.33万元。资金来源为中央衔接资金、中央财政产粮大县奖励资金、自治区高标准农田建设专项资金、新增地方债资金及县财政2021年清理盘活财政存量资金。主要建设内容为水源工程、引排水工程、蓄水工程、渠道、信息自动化及土地平整、土壤改良等。</w:t>
      </w:r>
      <w:r>
        <w:rPr>
          <w:rFonts w:hint="eastAsia" w:ascii="Times New Roman" w:hAnsi="Times New Roman" w:eastAsia="仿宋_GB2312" w:cs="Times New Roman"/>
          <w:b w:val="0"/>
          <w:bCs w:val="0"/>
          <w:sz w:val="32"/>
          <w:szCs w:val="32"/>
          <w:lang w:val="en-US" w:eastAsia="zh-CN"/>
        </w:rPr>
        <w:t>第三方</w:t>
      </w:r>
      <w:r>
        <w:rPr>
          <w:rFonts w:hint="eastAsia" w:ascii="仿宋" w:hAnsi="仿宋" w:eastAsia="仿宋" w:cs="仿宋"/>
          <w:b w:val="0"/>
          <w:bCs w:val="0"/>
          <w:color w:val="auto"/>
          <w:sz w:val="32"/>
          <w:szCs w:val="32"/>
          <w:lang w:val="en-US" w:eastAsia="zh-CN" w:bidi="ar-SA"/>
        </w:rPr>
        <w:t>绩效评价发现的问题主要有以下几个方面：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eastAsia" w:ascii="Times New Roman" w:hAnsi="Times New Roman" w:eastAsia="仿宋_GB2312" w:cs="Times New Roman"/>
          <w:kern w:val="0"/>
          <w:sz w:val="32"/>
          <w:szCs w:val="32"/>
          <w:lang w:val="en-US" w:eastAsia="zh-CN" w:bidi="ar-SA"/>
        </w:rPr>
        <w:t>截至被评价时段，项目预算执行率较低。海原县2021年扬黄灌区2.08万亩高效节灌工程（七营镇、三河镇试点项目）</w:t>
      </w:r>
      <w:r>
        <w:rPr>
          <w:rFonts w:hint="default" w:ascii="Times New Roman" w:hAnsi="Times New Roman" w:eastAsia="仿宋_GB2312" w:cs="Times New Roman"/>
          <w:kern w:val="0"/>
          <w:sz w:val="32"/>
          <w:szCs w:val="32"/>
          <w:lang w:val="en-US" w:eastAsia="zh-CN" w:bidi="ar-SA"/>
        </w:rPr>
        <w:t>概算投资10543.48万元，</w:t>
      </w:r>
      <w:r>
        <w:rPr>
          <w:rFonts w:hint="eastAsia" w:ascii="Times New Roman" w:hAnsi="Times New Roman" w:eastAsia="仿宋_GB2312" w:cs="Times New Roman"/>
          <w:kern w:val="0"/>
          <w:sz w:val="32"/>
          <w:szCs w:val="32"/>
          <w:lang w:val="en-US" w:eastAsia="zh-CN" w:bidi="ar-SA"/>
        </w:rPr>
        <w:t>截至</w:t>
      </w:r>
      <w:r>
        <w:rPr>
          <w:rFonts w:hint="default" w:ascii="Times New Roman" w:hAnsi="Times New Roman" w:eastAsia="仿宋_GB2312" w:cs="Times New Roman"/>
          <w:kern w:val="0"/>
          <w:sz w:val="32"/>
          <w:szCs w:val="32"/>
          <w:lang w:val="en-US" w:eastAsia="zh-CN" w:bidi="ar-SA"/>
        </w:rPr>
        <w:t>2022年8月实际支出9544.41万元，预算执行率90.52%。</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default" w:ascii="Times New Roman" w:hAnsi="Times New Roman" w:eastAsia="仿宋_GB2312" w:cs="Times New Roman"/>
          <w:kern w:val="0"/>
          <w:sz w:val="32"/>
          <w:szCs w:val="32"/>
          <w:lang w:val="en-US" w:eastAsia="zh-CN" w:bidi="ar-SA"/>
        </w:rPr>
        <w:t>评价现场访谈部分村干部反映，对灌溉系统操作有一些困难，</w:t>
      </w:r>
      <w:r>
        <w:rPr>
          <w:rFonts w:hint="eastAsia" w:ascii="Times New Roman" w:hAnsi="Times New Roman" w:eastAsia="仿宋_GB2312" w:cs="Times New Roman"/>
          <w:kern w:val="0"/>
          <w:sz w:val="32"/>
          <w:szCs w:val="32"/>
          <w:lang w:val="en-US" w:eastAsia="zh-CN" w:bidi="ar-SA"/>
        </w:rPr>
        <w:t>缺乏</w:t>
      </w:r>
      <w:r>
        <w:rPr>
          <w:rFonts w:hint="default" w:ascii="Times New Roman" w:hAnsi="Times New Roman" w:eastAsia="仿宋_GB2312" w:cs="Times New Roman"/>
          <w:kern w:val="0"/>
          <w:sz w:val="32"/>
          <w:szCs w:val="32"/>
          <w:lang w:val="en-US" w:eastAsia="zh-CN" w:bidi="ar-SA"/>
        </w:rPr>
        <w:t>系统操作相关的培训。</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 w:cs="Times New Roman"/>
          <w:b/>
          <w:bCs/>
          <w:sz w:val="32"/>
          <w:szCs w:val="32"/>
          <w:lang w:val="en-US" w:eastAsia="zh-CN"/>
        </w:rPr>
        <w:t>------</w:t>
      </w:r>
      <w:r>
        <w:rPr>
          <w:rFonts w:hint="default" w:ascii="Times New Roman" w:hAnsi="Times New Roman" w:eastAsia="仿宋_GB2312" w:cs="Times New Roman"/>
          <w:kern w:val="0"/>
          <w:sz w:val="32"/>
          <w:szCs w:val="32"/>
          <w:lang w:val="en-US" w:eastAsia="zh-CN" w:bidi="ar-SA"/>
        </w:rPr>
        <w:t>七营镇马莲村节水灌溉项目和大水漫灌田块使用一个支渠，灌溉用水季节容易造成管网水压不足，部分地势较高的节水灌溉田块用水困难，群众也因用水发生矛盾。</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楷体" w:hAnsi="楷体" w:eastAsia="楷体" w:cs="楷体"/>
          <w:b/>
          <w:bCs/>
          <w:kern w:val="2"/>
          <w:sz w:val="32"/>
          <w:szCs w:val="32"/>
          <w:lang w:val="en-US" w:eastAsia="zh-CN"/>
        </w:rPr>
      </w:pPr>
      <w:r>
        <w:rPr>
          <w:rFonts w:hint="eastAsia" w:ascii="楷体" w:hAnsi="楷体" w:eastAsia="楷体" w:cs="楷体"/>
          <w:b/>
          <w:bCs/>
          <w:kern w:val="2"/>
          <w:sz w:val="32"/>
          <w:szCs w:val="32"/>
          <w:lang w:val="en-US" w:eastAsia="zh-CN"/>
        </w:rPr>
        <w:t>（四）县教育体育局：</w:t>
      </w:r>
      <w:r>
        <w:rPr>
          <w:rFonts w:hint="eastAsia" w:ascii="楷体" w:hAnsi="楷体" w:eastAsia="楷体" w:cs="楷体"/>
          <w:b/>
          <w:bCs/>
          <w:color w:val="000000"/>
          <w:kern w:val="0"/>
          <w:sz w:val="32"/>
          <w:szCs w:val="32"/>
          <w:lang w:val="en-US" w:eastAsia="zh-CN" w:bidi="ar-SA"/>
        </w:rPr>
        <w:t>2021年义务教育薄弱环节改善与能力提升项目。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Times New Roman" w:hAnsi="Times New Roman" w:eastAsia="仿宋_GB2312" w:cs="Times New Roman"/>
          <w:kern w:val="0"/>
          <w:sz w:val="32"/>
          <w:szCs w:val="32"/>
          <w:lang w:val="en-US" w:eastAsia="zh-CN" w:bidi="ar-SA"/>
        </w:rPr>
        <w:t>该项目共安排资金4535万元，其中中央资金3300万元，占72.77%；自治区资金1235万元，占27.23%。实施内容共16个子项目，主要是西安镇中小小学宿舍楼及其附属工程、海原县七营镇中小小学餐厅项目、海原县七营中学宿舍楼项目、海原县树台乡九年一贯制学校宿舍楼及附属工程、海原县第八小学新建项目以及海原县第二中学、第三中学“互联网+教育”智慧校园设备采购项目等。</w:t>
      </w:r>
      <w:r>
        <w:rPr>
          <w:rFonts w:hint="eastAsia" w:ascii="仿宋" w:hAnsi="仿宋" w:eastAsia="仿宋" w:cs="仿宋"/>
          <w:kern w:val="0"/>
          <w:sz w:val="32"/>
          <w:szCs w:val="32"/>
          <w:lang w:val="en-US" w:eastAsia="zh-CN" w:bidi="ar-SA"/>
        </w:rPr>
        <w:t>第三方</w:t>
      </w:r>
      <w:r>
        <w:rPr>
          <w:rFonts w:hint="eastAsia" w:ascii="仿宋" w:hAnsi="仿宋" w:eastAsia="仿宋" w:cs="仿宋"/>
          <w:b w:val="0"/>
          <w:bCs w:val="0"/>
          <w:sz w:val="32"/>
          <w:szCs w:val="32"/>
          <w:lang w:val="en-US" w:eastAsia="zh-CN"/>
        </w:rPr>
        <w:t>绩效评价发现的问题主要有以下几个方面：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b/>
          <w:bCs/>
          <w:sz w:val="32"/>
          <w:szCs w:val="32"/>
          <w:lang w:val="en-US" w:eastAsia="zh-CN"/>
        </w:rPr>
        <w:t>------</w:t>
      </w:r>
      <w:r>
        <w:rPr>
          <w:rFonts w:hint="eastAsia" w:ascii="仿宋" w:hAnsi="仿宋" w:eastAsia="仿宋" w:cs="仿宋"/>
          <w:b/>
          <w:bCs/>
          <w:sz w:val="32"/>
          <w:szCs w:val="32"/>
          <w:lang w:val="en-US" w:eastAsia="zh-CN"/>
        </w:rPr>
        <w:t>项目决策方面：</w:t>
      </w:r>
      <w:r>
        <w:rPr>
          <w:rFonts w:hint="default" w:ascii="Times New Roman" w:hAnsi="Times New Roman" w:eastAsia="仿宋_GB2312" w:cs="Times New Roman"/>
          <w:sz w:val="32"/>
          <w:szCs w:val="32"/>
          <w:lang w:val="en-US" w:eastAsia="zh-CN"/>
        </w:rPr>
        <w:t>项目立项程序规范性、绩效目标合理性、绩效指标明确性有待进一步提高，项目立项不完善。具体体现在以下两个方面。</w:t>
      </w:r>
    </w:p>
    <w:p>
      <w:pPr>
        <w:keepNext w:val="0"/>
        <w:keepLines w:val="0"/>
        <w:pageBreakBefore w:val="0"/>
        <w:widowControl w:val="0"/>
        <w:tabs>
          <w:tab w:val="left" w:pos="2559"/>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项目申请前期编制详细项目实施方案，但是在项目资料收集与梳理中未见相关可行性研究、专家论证、风险评估、绩效评估等资料</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在绩效评价工作组成员对项目资料梳理过程中发现，</w:t>
      </w:r>
      <w:r>
        <w:rPr>
          <w:rFonts w:hint="eastAsia" w:ascii="Times New Roman" w:hAnsi="Times New Roman" w:eastAsia="仿宋_GB2312" w:cs="Times New Roman"/>
          <w:sz w:val="32"/>
          <w:szCs w:val="32"/>
          <w:lang w:val="en-US" w:eastAsia="zh-CN"/>
        </w:rPr>
        <w:t>未提供绩效目标申报表</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------过程方面：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项目管理制度不健全</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通过对项目资料收集与整理，并结合项目访谈发现，该项目管理制度不健全，表现在未成立工作小组责任到人，未设置考核、奖惩等措施，不能够提供相关管理制度。通过对项目的资料收集与整理发现，项目实施过程中质量监督记录不齐全。</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未经</w:t>
      </w:r>
      <w:r>
        <w:rPr>
          <w:rFonts w:hint="eastAsia" w:ascii="Times New Roman" w:hAnsi="Times New Roman" w:eastAsia="仿宋_GB2312" w:cs="Times New Roman"/>
          <w:b w:val="0"/>
          <w:bCs w:val="0"/>
          <w:sz w:val="32"/>
          <w:szCs w:val="32"/>
          <w:lang w:val="en-US" w:eastAsia="zh-CN"/>
        </w:rPr>
        <w:t>相关部门批准</w:t>
      </w:r>
      <w:r>
        <w:rPr>
          <w:rFonts w:hint="default" w:ascii="Times New Roman" w:hAnsi="Times New Roman" w:eastAsia="仿宋_GB2312" w:cs="Times New Roman"/>
          <w:b w:val="0"/>
          <w:bCs w:val="0"/>
          <w:sz w:val="32"/>
          <w:szCs w:val="32"/>
          <w:lang w:val="en-US" w:eastAsia="zh-CN"/>
        </w:rPr>
        <w:t>擅自使用上年度结余资金</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该项目预算安排</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4535万元，实际</w:t>
      </w:r>
      <w:r>
        <w:rPr>
          <w:rFonts w:hint="eastAsia" w:ascii="Times New Roman" w:hAnsi="Times New Roman" w:eastAsia="仿宋_GB2312" w:cs="Times New Roman"/>
          <w:sz w:val="32"/>
          <w:szCs w:val="32"/>
          <w:lang w:val="en-US" w:eastAsia="zh-CN"/>
        </w:rPr>
        <w:t>资金</w:t>
      </w:r>
      <w:r>
        <w:rPr>
          <w:rFonts w:hint="default"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lang w:val="en-US" w:eastAsia="zh-CN"/>
        </w:rPr>
        <w:t>4894.20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超</w:t>
      </w:r>
      <w:r>
        <w:rPr>
          <w:rFonts w:hint="default" w:ascii="Times New Roman" w:hAnsi="Times New Roman" w:eastAsia="仿宋_GB2312" w:cs="Times New Roman"/>
          <w:sz w:val="32"/>
          <w:szCs w:val="32"/>
          <w:lang w:val="en-US" w:eastAsia="zh-CN"/>
        </w:rPr>
        <w:t>支359.2万元。经过绩效评价组访谈</w:t>
      </w:r>
      <w:r>
        <w:rPr>
          <w:rFonts w:hint="eastAsia" w:ascii="Times New Roman" w:hAnsi="Times New Roman" w:eastAsia="仿宋_GB2312" w:cs="Times New Roman"/>
          <w:sz w:val="32"/>
          <w:szCs w:val="32"/>
          <w:lang w:val="en-US" w:eastAsia="zh-CN"/>
        </w:rPr>
        <w:t>了解</w:t>
      </w:r>
      <w:r>
        <w:rPr>
          <w:rFonts w:hint="default" w:ascii="Times New Roman" w:hAnsi="Times New Roman" w:eastAsia="仿宋_GB2312" w:cs="Times New Roman"/>
          <w:sz w:val="32"/>
          <w:szCs w:val="32"/>
          <w:lang w:val="en-US" w:eastAsia="zh-CN"/>
        </w:rPr>
        <w:t>，超支资金来源于上年度项目资金结余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结余资金未</w:t>
      </w:r>
      <w:r>
        <w:rPr>
          <w:rFonts w:hint="eastAsia"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lang w:val="en-US" w:eastAsia="zh-CN"/>
        </w:rPr>
        <w:t>项目主管部门</w:t>
      </w:r>
      <w:r>
        <w:rPr>
          <w:rFonts w:hint="eastAsia" w:ascii="Times New Roman" w:hAnsi="Times New Roman" w:eastAsia="仿宋_GB2312" w:cs="Times New Roman"/>
          <w:sz w:val="32"/>
          <w:szCs w:val="32"/>
          <w:lang w:val="en-US" w:eastAsia="zh-CN"/>
        </w:rPr>
        <w:t>报备</w:t>
      </w:r>
      <w:r>
        <w:rPr>
          <w:rFonts w:hint="default" w:ascii="Times New Roman" w:hAnsi="Times New Roman" w:eastAsia="仿宋_GB2312" w:cs="Times New Roman"/>
          <w:sz w:val="32"/>
          <w:szCs w:val="32"/>
          <w:lang w:val="en-US" w:eastAsia="zh-CN"/>
        </w:rPr>
        <w:t>批准，擅自用于2021年项目支出。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sz w:val="32"/>
          <w:szCs w:val="32"/>
          <w:lang w:val="en-US" w:eastAsia="zh-CN"/>
        </w:rPr>
        <w:t>（3）项目资金各校生均占比差异较大。</w:t>
      </w:r>
      <w:r>
        <w:rPr>
          <w:rFonts w:hint="eastAsia" w:ascii="Times New Roman" w:hAnsi="Times New Roman" w:eastAsia="仿宋_GB2312" w:cs="Times New Roman"/>
          <w:sz w:val="32"/>
          <w:szCs w:val="32"/>
          <w:lang w:val="en-US" w:eastAsia="zh-CN"/>
        </w:rPr>
        <w:t>通过对实际用于各校的项目资金与在校学生数比对，生均占比差异较大。</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 w:cs="Times New Roman"/>
          <w:b/>
          <w:bCs/>
          <w:sz w:val="32"/>
          <w:szCs w:val="32"/>
          <w:lang w:val="en-US" w:eastAsia="zh-CN"/>
        </w:rPr>
        <w:t>------产出方面：</w:t>
      </w:r>
      <w:r>
        <w:rPr>
          <w:rFonts w:hint="default" w:ascii="Times New Roman" w:hAnsi="Times New Roman" w:eastAsia="仿宋_GB2312" w:cs="Times New Roman"/>
          <w:sz w:val="32"/>
          <w:szCs w:val="32"/>
          <w:lang w:val="en-US" w:eastAsia="zh-CN"/>
        </w:rPr>
        <w:t>截至2022年7月1日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16个子项目其中未到工期的2个</w:t>
      </w:r>
      <w:r>
        <w:rPr>
          <w:rFonts w:hint="eastAsia" w:ascii="Times New Roman" w:hAnsi="Times New Roman" w:eastAsia="仿宋_GB2312" w:cs="Times New Roman"/>
          <w:sz w:val="32"/>
          <w:szCs w:val="32"/>
          <w:lang w:val="en-US" w:eastAsia="zh-CN"/>
        </w:rPr>
        <w:t>，即海原县第八小学建设项目一标段、海原县第八小学建设项目二标段；海原县教育体育局初级验收</w:t>
      </w:r>
      <w:r>
        <w:rPr>
          <w:rFonts w:hint="default" w:ascii="Times New Roman" w:hAnsi="Times New Roman" w:eastAsia="仿宋_GB2312" w:cs="Times New Roman"/>
          <w:sz w:val="32"/>
          <w:szCs w:val="32"/>
          <w:lang w:val="en-US" w:eastAsia="zh-CN"/>
        </w:rPr>
        <w:t>项目1个</w:t>
      </w:r>
      <w:r>
        <w:rPr>
          <w:rFonts w:hint="eastAsia" w:ascii="Times New Roman" w:hAnsi="Times New Roman" w:eastAsia="仿宋_GB2312" w:cs="Times New Roman"/>
          <w:sz w:val="32"/>
          <w:szCs w:val="32"/>
          <w:lang w:val="en-US" w:eastAsia="zh-CN"/>
        </w:rPr>
        <w:t>，即海原县第八小学建设项目三标段；</w:t>
      </w:r>
      <w:r>
        <w:rPr>
          <w:rFonts w:hint="default" w:ascii="Times New Roman" w:hAnsi="Times New Roman" w:eastAsia="仿宋_GB2312" w:cs="Times New Roman"/>
          <w:sz w:val="32"/>
          <w:szCs w:val="32"/>
          <w:lang w:val="en-US" w:eastAsia="zh-CN"/>
        </w:rPr>
        <w:t>未验收项目13个</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验收率</w:t>
      </w:r>
      <w:r>
        <w:rPr>
          <w:rFonts w:hint="eastAsia" w:ascii="Times New Roman" w:hAnsi="Times New Roman" w:eastAsia="仿宋_GB2312" w:cs="Times New Roman"/>
          <w:sz w:val="32"/>
          <w:szCs w:val="32"/>
          <w:lang w:val="en-US" w:eastAsia="zh-CN"/>
        </w:rPr>
        <w:t>仅</w:t>
      </w:r>
      <w:r>
        <w:rPr>
          <w:rFonts w:hint="default" w:ascii="Times New Roman" w:hAnsi="Times New Roman" w:eastAsia="仿宋_GB2312" w:cs="Times New Roman"/>
          <w:sz w:val="32"/>
          <w:szCs w:val="32"/>
          <w:lang w:val="en-US" w:eastAsia="zh-CN"/>
        </w:rPr>
        <w:t>7.14%，</w:t>
      </w:r>
      <w:r>
        <w:rPr>
          <w:rFonts w:hint="eastAsia" w:ascii="Times New Roman" w:hAnsi="Times New Roman" w:eastAsia="仿宋_GB2312" w:cs="Times New Roman"/>
          <w:sz w:val="32"/>
          <w:szCs w:val="32"/>
          <w:lang w:val="en-US" w:eastAsia="zh-CN"/>
        </w:rPr>
        <w:t>严重偏低。同时经第三方评价访谈及项目现场调研，未验收项目中，其中9个项目已投入使用，但未进行项目结算，存在隐患</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楷体" w:cs="Times New Roman"/>
          <w:b/>
          <w:bCs/>
          <w:sz w:val="32"/>
          <w:szCs w:val="32"/>
          <w:lang w:val="en-US" w:eastAsia="zh-CN"/>
        </w:rPr>
        <w:t>（五）</w:t>
      </w:r>
      <w:r>
        <w:rPr>
          <w:rFonts w:hint="eastAsia" w:ascii="Times New Roman" w:hAnsi="Times New Roman" w:eastAsia="楷体" w:cs="Times New Roman"/>
          <w:b/>
          <w:bCs/>
          <w:sz w:val="32"/>
          <w:szCs w:val="32"/>
          <w:lang w:val="en-US" w:eastAsia="zh-CN"/>
        </w:rPr>
        <w:t>树台乡</w:t>
      </w:r>
      <w:r>
        <w:rPr>
          <w:rFonts w:hint="default" w:ascii="Times New Roman" w:hAnsi="Times New Roman" w:eastAsia="楷体" w:cs="Times New Roman"/>
          <w:b/>
          <w:bCs/>
          <w:sz w:val="32"/>
          <w:szCs w:val="32"/>
          <w:lang w:val="en-US" w:eastAsia="zh-CN"/>
        </w:rPr>
        <w:t>2020年美丽小城镇建设项目</w:t>
      </w:r>
      <w:r>
        <w:rPr>
          <w:rFonts w:hint="eastAsia" w:ascii="Times New Roman" w:hAnsi="Times New Roman" w:eastAsia="楷体" w:cs="Times New Roman"/>
          <w:b/>
          <w:bCs/>
          <w:sz w:val="32"/>
          <w:szCs w:val="32"/>
          <w:lang w:val="en-US" w:eastAsia="zh-CN"/>
        </w:rPr>
        <w:t>。</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 w:cs="Times New Roman"/>
          <w:b w:val="0"/>
          <w:bCs w:val="0"/>
          <w:sz w:val="32"/>
          <w:szCs w:val="32"/>
          <w:lang w:val="en-US" w:eastAsia="zh-CN"/>
        </w:rPr>
      </w:pPr>
      <w:r>
        <w:rPr>
          <w:rFonts w:hint="eastAsia" w:ascii="Times New Roman" w:hAnsi="Times New Roman" w:eastAsia="仿宋_GB2312" w:cs="Times New Roman"/>
          <w:sz w:val="32"/>
          <w:szCs w:val="32"/>
          <w:lang w:val="en-US" w:eastAsia="zh-CN"/>
        </w:rPr>
        <w:t>该项目经</w:t>
      </w:r>
      <w:r>
        <w:rPr>
          <w:rFonts w:hint="default" w:ascii="Times New Roman" w:hAnsi="Times New Roman" w:eastAsia="仿宋_GB2312" w:cs="Times New Roman"/>
          <w:sz w:val="32"/>
          <w:szCs w:val="32"/>
          <w:lang w:val="en-US" w:eastAsia="zh-CN"/>
        </w:rPr>
        <w:t>海原县发展和改革局以《关于海</w:t>
      </w:r>
      <w:r>
        <w:rPr>
          <w:rFonts w:hint="eastAsia" w:ascii="Times New Roman" w:hAnsi="Times New Roman" w:eastAsia="仿宋_GB2312" w:cs="Times New Roman"/>
          <w:sz w:val="32"/>
          <w:szCs w:val="32"/>
          <w:lang w:val="en-US" w:eastAsia="zh-CN"/>
        </w:rPr>
        <w:t>原</w:t>
      </w:r>
      <w:r>
        <w:rPr>
          <w:rFonts w:hint="default" w:ascii="Times New Roman" w:hAnsi="Times New Roman" w:eastAsia="仿宋_GB2312" w:cs="Times New Roman"/>
          <w:sz w:val="32"/>
          <w:szCs w:val="32"/>
          <w:lang w:val="en-US" w:eastAsia="zh-CN"/>
        </w:rPr>
        <w:t>县树台乡2020年美丽小城镇项目初步设计方案的批复》(海发改发</w:t>
      </w:r>
      <w:r>
        <w:rPr>
          <w:rFonts w:hint="eastAsia" w:ascii="微软雅黑" w:hAnsi="微软雅黑" w:eastAsia="微软雅黑" w:cs="微软雅黑"/>
          <w:sz w:val="32"/>
          <w:szCs w:val="32"/>
          <w:lang w:val="en-US" w:eastAsia="zh-CN"/>
        </w:rPr>
        <w:t>〔</w:t>
      </w:r>
      <w:r>
        <w:rPr>
          <w:rFonts w:hint="default" w:ascii="Times New Roman" w:hAnsi="Times New Roman" w:eastAsia="仿宋_GB2312" w:cs="Times New Roman"/>
          <w:sz w:val="32"/>
          <w:szCs w:val="32"/>
          <w:lang w:val="en-US" w:eastAsia="zh-CN"/>
        </w:rPr>
        <w:t>2020</w:t>
      </w:r>
      <w:r>
        <w:rPr>
          <w:rFonts w:hint="eastAsia" w:ascii="微软雅黑" w:hAnsi="微软雅黑" w:eastAsia="微软雅黑" w:cs="微软雅黑"/>
          <w:sz w:val="32"/>
          <w:szCs w:val="32"/>
          <w:lang w:val="en-US" w:eastAsia="zh-CN"/>
        </w:rPr>
        <w:t>〕</w:t>
      </w:r>
      <w:r>
        <w:rPr>
          <w:rFonts w:hint="default" w:ascii="Times New Roman" w:hAnsi="Times New Roman" w:eastAsia="仿宋_GB2312" w:cs="Times New Roman"/>
          <w:sz w:val="32"/>
          <w:szCs w:val="32"/>
          <w:lang w:val="en-US" w:eastAsia="zh-CN"/>
        </w:rPr>
        <w:t>164号)</w:t>
      </w:r>
      <w:r>
        <w:rPr>
          <w:rFonts w:hint="eastAsia" w:ascii="Times New Roman" w:hAnsi="Times New Roman" w:eastAsia="仿宋_GB2312" w:cs="Times New Roman"/>
          <w:sz w:val="32"/>
          <w:szCs w:val="32"/>
          <w:lang w:val="en-US" w:eastAsia="zh-CN"/>
        </w:rPr>
        <w:t>立项批复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主要建设内容为</w:t>
      </w:r>
      <w:r>
        <w:rPr>
          <w:rFonts w:hint="default" w:ascii="Times New Roman" w:hAnsi="Times New Roman" w:eastAsia="仿宋_GB2312" w:cs="Times New Roman"/>
          <w:sz w:val="32"/>
          <w:szCs w:val="32"/>
          <w:lang w:val="en-US" w:eastAsia="zh-CN"/>
        </w:rPr>
        <w:t>道路及路灯工程</w:t>
      </w:r>
      <w:r>
        <w:rPr>
          <w:rFonts w:hint="eastAsia" w:ascii="Times New Roman" w:hAnsi="Times New Roman" w:eastAsia="仿宋_GB2312" w:cs="Times New Roman"/>
          <w:sz w:val="32"/>
          <w:szCs w:val="32"/>
          <w:lang w:val="en-US" w:eastAsia="zh-CN"/>
        </w:rPr>
        <w:t>、排水工程、</w:t>
      </w:r>
      <w:r>
        <w:rPr>
          <w:rFonts w:hint="default" w:ascii="Times New Roman" w:hAnsi="Times New Roman" w:eastAsia="仿宋_GB2312" w:cs="Times New Roman"/>
          <w:sz w:val="32"/>
          <w:szCs w:val="32"/>
          <w:lang w:val="en-US" w:eastAsia="zh-CN"/>
        </w:rPr>
        <w:t>电力、电信排管工程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文化娱乐广场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建材市场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概算总投资</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2180.89万元</w:t>
      </w:r>
      <w:r>
        <w:rPr>
          <w:rFonts w:hint="eastAsia" w:ascii="Times New Roman" w:hAnsi="Times New Roman" w:eastAsia="仿宋_GB2312" w:cs="Times New Roman"/>
          <w:sz w:val="32"/>
          <w:szCs w:val="32"/>
          <w:lang w:val="en-US" w:eastAsia="zh-CN"/>
        </w:rPr>
        <w:t>。后经树台乡政府申请县发改部门变更，新增投资139.8万元，</w:t>
      </w:r>
      <w:r>
        <w:rPr>
          <w:rFonts w:hint="default" w:ascii="Times New Roman" w:hAnsi="Times New Roman" w:eastAsia="仿宋_GB2312" w:cs="Times New Roman"/>
          <w:sz w:val="32"/>
          <w:szCs w:val="32"/>
          <w:lang w:val="en-US" w:eastAsia="zh-CN"/>
        </w:rPr>
        <w:t>资金来源为自治区美丽小城镇建设专项资金和县</w:t>
      </w:r>
      <w:r>
        <w:rPr>
          <w:rFonts w:hint="eastAsia" w:ascii="Times New Roman" w:hAnsi="Times New Roman" w:eastAsia="仿宋_GB2312" w:cs="Times New Roman"/>
          <w:sz w:val="32"/>
          <w:szCs w:val="32"/>
          <w:lang w:val="en-US" w:eastAsia="zh-CN"/>
        </w:rPr>
        <w:t>财政</w:t>
      </w:r>
      <w:r>
        <w:rPr>
          <w:rFonts w:hint="default" w:ascii="Times New Roman" w:hAnsi="Times New Roman" w:eastAsia="仿宋_GB2312" w:cs="Times New Roman"/>
          <w:sz w:val="32"/>
          <w:szCs w:val="32"/>
          <w:lang w:val="en-US" w:eastAsia="zh-CN"/>
        </w:rPr>
        <w:t>统筹资金。</w:t>
      </w:r>
      <w:r>
        <w:rPr>
          <w:rFonts w:hint="eastAsia" w:ascii="Times New Roman" w:hAnsi="Times New Roman" w:eastAsia="仿宋_GB2312" w:cs="Times New Roman"/>
          <w:sz w:val="32"/>
          <w:szCs w:val="32"/>
          <w:lang w:val="en-US" w:eastAsia="zh-CN"/>
        </w:rPr>
        <w:t>第三方</w:t>
      </w:r>
      <w:r>
        <w:rPr>
          <w:rFonts w:hint="default" w:ascii="Times New Roman" w:hAnsi="Times New Roman" w:eastAsia="仿宋" w:cs="Times New Roman"/>
          <w:b w:val="0"/>
          <w:bCs w:val="0"/>
          <w:sz w:val="32"/>
          <w:szCs w:val="32"/>
          <w:lang w:val="en-US" w:eastAsia="zh-CN"/>
        </w:rPr>
        <w:t>绩效评价发现的问题主要有：</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未在计划时间内完成整体验收，影响了工程后期决算、资金支出等工作的进行。工程完成后，部分资金申请到位不及时，形成挂账和实际债务。</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部分工程的后期维护管理有待加强，未形成长效机制。该项目排水管网项目污水处理站围墙外护坡有较大面积地砖脱落情况</w:t>
      </w:r>
      <w:r>
        <w:rPr>
          <w:rFonts w:hint="eastAsia" w:ascii="Times New Roman" w:hAnsi="Times New Roman" w:eastAsia="仿宋_GB2312" w:cs="Times New Roman"/>
          <w:sz w:val="32"/>
          <w:szCs w:val="32"/>
          <w:lang w:val="en-US" w:eastAsia="zh-CN"/>
        </w:rPr>
        <w:t>。</w:t>
      </w:r>
    </w:p>
    <w:p>
      <w:pPr>
        <w:keepNext w:val="0"/>
        <w:keepLines w:val="0"/>
        <w:pageBreakBefore w:val="0"/>
        <w:widowControl w:val="0"/>
        <w:tabs>
          <w:tab w:val="left" w:pos="6804"/>
        </w:tabs>
        <w:kinsoku/>
        <w:wordWrap/>
        <w:overflowPunct/>
        <w:topLinePunct w:val="0"/>
        <w:autoSpaceDE/>
        <w:autoSpaceDN/>
        <w:bidi w:val="0"/>
        <w:adjustRightInd/>
        <w:snapToGrid/>
        <w:spacing w:afterAutospacing="0" w:line="600" w:lineRule="exact"/>
        <w:ind w:left="0" w:leftChars="0" w:right="0" w:rightChars="0" w:firstLine="643" w:firstLineChars="200"/>
        <w:jc w:val="both"/>
        <w:textAlignment w:val="auto"/>
        <w:outlineLvl w:val="9"/>
        <w:rPr>
          <w:rFonts w:hint="eastAsia" w:ascii="Times New Roman" w:hAnsi="Times New Roman" w:eastAsia="黑体" w:cs="Times New Roman"/>
          <w:b w:val="0"/>
          <w:bCs w:val="0"/>
          <w:sz w:val="32"/>
          <w:szCs w:val="32"/>
          <w:lang w:val="en-US" w:eastAsia="zh-CN"/>
        </w:rPr>
      </w:pPr>
      <w:r>
        <w:rPr>
          <w:rFonts w:hint="eastAsia" w:ascii="楷体" w:hAnsi="楷体" w:eastAsia="楷体" w:cs="楷体"/>
          <w:b/>
          <w:bCs/>
          <w:sz w:val="32"/>
          <w:szCs w:val="32"/>
          <w:lang w:val="en-US" w:eastAsia="zh-CN"/>
        </w:rPr>
        <w:t>（六）县交通运输局2021年村道安全提升工程项目。</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Times New Roman" w:hAnsi="Times New Roman" w:eastAsia="仿宋_GB2312" w:cs="Times New Roman"/>
          <w:kern w:val="0"/>
          <w:sz w:val="32"/>
          <w:szCs w:val="32"/>
          <w:lang w:val="en-US" w:eastAsia="zh-CN" w:bidi="ar-SA"/>
        </w:rPr>
        <w:t>根据《自治区财政厅关于下达2021年车辆购置税收入补助地方资金预算(省道及农村公路)的通知》(宁财(建)指标</w:t>
      </w:r>
      <w:r>
        <w:rPr>
          <w:rFonts w:hint="eastAsia" w:ascii="微软雅黑" w:hAnsi="微软雅黑" w:eastAsia="微软雅黑" w:cs="微软雅黑"/>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2021</w:t>
      </w:r>
      <w:r>
        <w:rPr>
          <w:rFonts w:hint="eastAsia" w:ascii="微软雅黑" w:hAnsi="微软雅黑" w:eastAsia="微软雅黑" w:cs="微软雅黑"/>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275号)文件，下达海原县村道安全生命防护工程资金804万元。该项目涉及30条公路，路线总长210.7公里，隐患里程总长113.9公里。主要在交叉路口、学校、集镇、急弯、陡坡路段设置警告标志。项目合同价966.38万元，截至2021年12月31日，实际支出820万元，预算执行率为100%，其中车辆购置税收入补助地方资金732.3万元（剩余71.7万元用于海原县红古至香水桥公路工程）、涉农整合资金87.77万元。第三方</w:t>
      </w:r>
      <w:r>
        <w:rPr>
          <w:rFonts w:hint="eastAsia" w:ascii="仿宋" w:hAnsi="仿宋" w:eastAsia="仿宋" w:cs="仿宋"/>
          <w:b w:val="0"/>
          <w:bCs w:val="0"/>
          <w:sz w:val="32"/>
          <w:szCs w:val="32"/>
          <w:lang w:val="en-US" w:eastAsia="zh-CN"/>
        </w:rPr>
        <w:t>绩效评价发现的问题主要有：</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ascii="仿宋" w:hAnsi="仿宋" w:eastAsia="仿宋" w:cs="仿宋"/>
          <w:b/>
          <w:bCs/>
          <w:sz w:val="32"/>
          <w:szCs w:val="32"/>
          <w:lang w:val="en-US" w:eastAsia="zh-CN"/>
        </w:rPr>
        <w:t>个别指标值不够细化、量化。</w:t>
      </w:r>
      <w:r>
        <w:rPr>
          <w:rFonts w:hint="eastAsia"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lang w:val="en-US" w:eastAsia="zh-CN"/>
        </w:rPr>
        <w:t>项目根据绩效总目标和年度目标设置</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较为明确、细化、可衡量的产出数量指标、产出质量指标、产出时效指标及相应标杆值，但生态效益指标、可持续影响指标及标杆值不够细化和量化，在一定程度上影响了项目目标对项目实施的约束作用，不利于后期对项目实施作出全面的评价。</w:t>
      </w:r>
    </w:p>
    <w:p>
      <w:pPr>
        <w:pStyle w:val="12"/>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lang w:val="en-US" w:eastAsia="zh-CN"/>
        </w:rPr>
      </w:pPr>
      <w:r>
        <w:rPr>
          <w:rFonts w:hint="eastAsia" w:ascii="Times New Roman" w:hAnsi="Times New Roman" w:eastAsia="仿宋_GB2312" w:cs="Times New Roman"/>
          <w:b/>
          <w:bCs/>
          <w:sz w:val="32"/>
          <w:szCs w:val="32"/>
          <w:lang w:val="en-US" w:eastAsia="zh-CN"/>
        </w:rPr>
        <w:t>------预算绩效管理有待完善。</w:t>
      </w:r>
      <w:r>
        <w:rPr>
          <w:rFonts w:hint="eastAsia" w:ascii="Times New Roman" w:hAnsi="Times New Roman" w:eastAsia="仿宋_GB2312" w:cs="Times New Roman"/>
          <w:sz w:val="32"/>
          <w:szCs w:val="32"/>
          <w:lang w:val="en-US" w:eastAsia="zh-CN"/>
        </w:rPr>
        <w:t>县交通局未对预算执行进行中期跟踪监控，也未开展绩效自评。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p>
    <w:p>
      <w:pPr>
        <w:pStyle w:val="2"/>
        <w:rPr>
          <w:rFonts w:hint="eastAsia"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b w:val="0"/>
          <w:kern w:val="0"/>
          <w:sz w:val="32"/>
          <w:szCs w:val="32"/>
          <w:lang w:val="en-US" w:eastAsia="zh-CN" w:bidi="ar-SA"/>
        </w:rPr>
        <w:t xml:space="preserve">   海原县财政局</w:t>
      </w:r>
    </w:p>
    <w:p>
      <w:pPr>
        <w:pStyle w:val="2"/>
        <w:rPr>
          <w:rFonts w:hint="default" w:ascii="Times New Roman" w:hAnsi="Times New Roman" w:eastAsia="仿宋_GB2312" w:cs="Times New Roman"/>
          <w:b w:val="0"/>
          <w:kern w:val="0"/>
          <w:sz w:val="32"/>
          <w:szCs w:val="32"/>
          <w:lang w:val="en-US" w:eastAsia="zh-CN" w:bidi="ar-SA"/>
        </w:rPr>
      </w:pPr>
      <w:r>
        <w:rPr>
          <w:rFonts w:hint="eastAsia" w:ascii="Times New Roman" w:hAnsi="Times New Roman" w:eastAsia="仿宋_GB2312" w:cs="Times New Roman"/>
          <w:b w:val="0"/>
          <w:kern w:val="0"/>
          <w:sz w:val="32"/>
          <w:szCs w:val="32"/>
          <w:lang w:val="en-US" w:eastAsia="zh-CN" w:bidi="ar-SA"/>
        </w:rPr>
        <w:t xml:space="preserve">                         2021年3月22日</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panose1 w:val="02030304000000000000"/>
    <w:charset w:val="7A"/>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kxNzBjOWYwODhjNDJiZGVkMjY3ODNjYTVkODIifQ=="/>
  </w:docVars>
  <w:rsids>
    <w:rsidRoot w:val="00000000"/>
    <w:rsid w:val="00D94C1C"/>
    <w:rsid w:val="01082F36"/>
    <w:rsid w:val="02AD51D0"/>
    <w:rsid w:val="039B68AB"/>
    <w:rsid w:val="041F054D"/>
    <w:rsid w:val="056F2D4E"/>
    <w:rsid w:val="05C349AD"/>
    <w:rsid w:val="06887638"/>
    <w:rsid w:val="08B94FA0"/>
    <w:rsid w:val="08CB470B"/>
    <w:rsid w:val="0983583A"/>
    <w:rsid w:val="099210D9"/>
    <w:rsid w:val="0C091F84"/>
    <w:rsid w:val="10E44689"/>
    <w:rsid w:val="114754DD"/>
    <w:rsid w:val="116A7890"/>
    <w:rsid w:val="117305D2"/>
    <w:rsid w:val="135445C5"/>
    <w:rsid w:val="135C7D26"/>
    <w:rsid w:val="13797B2B"/>
    <w:rsid w:val="16204DA2"/>
    <w:rsid w:val="164E42EB"/>
    <w:rsid w:val="19D376E3"/>
    <w:rsid w:val="19E542E7"/>
    <w:rsid w:val="1B5F2881"/>
    <w:rsid w:val="1C23016F"/>
    <w:rsid w:val="1C9614BC"/>
    <w:rsid w:val="1D02322E"/>
    <w:rsid w:val="1DB16262"/>
    <w:rsid w:val="1ED717A5"/>
    <w:rsid w:val="1F5C2874"/>
    <w:rsid w:val="1FE0564C"/>
    <w:rsid w:val="219F5AF6"/>
    <w:rsid w:val="2359409D"/>
    <w:rsid w:val="256E1F49"/>
    <w:rsid w:val="25922D45"/>
    <w:rsid w:val="26E61561"/>
    <w:rsid w:val="28D53A41"/>
    <w:rsid w:val="298B6F02"/>
    <w:rsid w:val="2A035DBE"/>
    <w:rsid w:val="2BD97FC9"/>
    <w:rsid w:val="2D4D1047"/>
    <w:rsid w:val="2DB130A6"/>
    <w:rsid w:val="2E440EA6"/>
    <w:rsid w:val="2EDF733D"/>
    <w:rsid w:val="2F925917"/>
    <w:rsid w:val="31DD4C53"/>
    <w:rsid w:val="323B2FCA"/>
    <w:rsid w:val="324F6D91"/>
    <w:rsid w:val="332902E9"/>
    <w:rsid w:val="335E4B7E"/>
    <w:rsid w:val="36015EC7"/>
    <w:rsid w:val="36695BFC"/>
    <w:rsid w:val="38490690"/>
    <w:rsid w:val="388E6281"/>
    <w:rsid w:val="3A594803"/>
    <w:rsid w:val="3BBB0037"/>
    <w:rsid w:val="3C072454"/>
    <w:rsid w:val="3C6C2269"/>
    <w:rsid w:val="3D440107"/>
    <w:rsid w:val="3D750370"/>
    <w:rsid w:val="402718B1"/>
    <w:rsid w:val="403A64B2"/>
    <w:rsid w:val="40595FE8"/>
    <w:rsid w:val="40A713E5"/>
    <w:rsid w:val="41180B98"/>
    <w:rsid w:val="419A4732"/>
    <w:rsid w:val="41E3394A"/>
    <w:rsid w:val="431373DA"/>
    <w:rsid w:val="44614098"/>
    <w:rsid w:val="44D040F1"/>
    <w:rsid w:val="453273D9"/>
    <w:rsid w:val="458205CC"/>
    <w:rsid w:val="480F553E"/>
    <w:rsid w:val="48C87E20"/>
    <w:rsid w:val="48FD2DBF"/>
    <w:rsid w:val="49961772"/>
    <w:rsid w:val="4A882D8D"/>
    <w:rsid w:val="4A92430E"/>
    <w:rsid w:val="4B197D53"/>
    <w:rsid w:val="4B7363E3"/>
    <w:rsid w:val="4C412297"/>
    <w:rsid w:val="4E900F06"/>
    <w:rsid w:val="4F960E40"/>
    <w:rsid w:val="506B1CA1"/>
    <w:rsid w:val="53EE5C36"/>
    <w:rsid w:val="54860530"/>
    <w:rsid w:val="557315FE"/>
    <w:rsid w:val="5671396F"/>
    <w:rsid w:val="567E6388"/>
    <w:rsid w:val="56F31A43"/>
    <w:rsid w:val="58EA6F83"/>
    <w:rsid w:val="5907121A"/>
    <w:rsid w:val="5A5F4D36"/>
    <w:rsid w:val="5CAB1144"/>
    <w:rsid w:val="5F740B69"/>
    <w:rsid w:val="5F970D7B"/>
    <w:rsid w:val="613353CC"/>
    <w:rsid w:val="615A6FF1"/>
    <w:rsid w:val="65113C33"/>
    <w:rsid w:val="65FC2CD9"/>
    <w:rsid w:val="65FD1D3E"/>
    <w:rsid w:val="67DF35F1"/>
    <w:rsid w:val="67E97064"/>
    <w:rsid w:val="67EFEBB8"/>
    <w:rsid w:val="68441E85"/>
    <w:rsid w:val="691D72D6"/>
    <w:rsid w:val="6BEF0D88"/>
    <w:rsid w:val="6BF50971"/>
    <w:rsid w:val="6D49767D"/>
    <w:rsid w:val="6DA89E9C"/>
    <w:rsid w:val="6DDF56D8"/>
    <w:rsid w:val="6DEB9D46"/>
    <w:rsid w:val="6DEE1649"/>
    <w:rsid w:val="6EBDD6B7"/>
    <w:rsid w:val="6FCA094D"/>
    <w:rsid w:val="74832287"/>
    <w:rsid w:val="753C459B"/>
    <w:rsid w:val="77A47BBA"/>
    <w:rsid w:val="792E6869"/>
    <w:rsid w:val="7993042D"/>
    <w:rsid w:val="79D709A1"/>
    <w:rsid w:val="79F5EA9C"/>
    <w:rsid w:val="7A87250B"/>
    <w:rsid w:val="7ABE6A3D"/>
    <w:rsid w:val="7AED6C3D"/>
    <w:rsid w:val="7BDF1EFC"/>
    <w:rsid w:val="7BF84F9B"/>
    <w:rsid w:val="7BF931AF"/>
    <w:rsid w:val="7DAF7EF0"/>
    <w:rsid w:val="7E8F58A1"/>
    <w:rsid w:val="7F3F0592"/>
    <w:rsid w:val="7F7FDA1A"/>
    <w:rsid w:val="7FFDB1D9"/>
    <w:rsid w:val="AFD582DB"/>
    <w:rsid w:val="BE5FB783"/>
    <w:rsid w:val="BFEFF392"/>
    <w:rsid w:val="D3AF7F22"/>
    <w:rsid w:val="D7BDC761"/>
    <w:rsid w:val="DD3F1289"/>
    <w:rsid w:val="DDB38DA0"/>
    <w:rsid w:val="DDFE628B"/>
    <w:rsid w:val="EBFF7BEE"/>
    <w:rsid w:val="EC6F2EE6"/>
    <w:rsid w:val="ECE7FE10"/>
    <w:rsid w:val="EEE526BD"/>
    <w:rsid w:val="EF5F15CA"/>
    <w:rsid w:val="F77DCA20"/>
    <w:rsid w:val="FADF7AA9"/>
    <w:rsid w:val="FBDE8974"/>
    <w:rsid w:val="FFFFE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883" w:firstLineChars="200"/>
    </w:pPr>
    <w:rPr>
      <w:rFonts w:ascii="Calibri" w:hAnsi="Calibri" w:eastAsia="宋体" w:cs="Calibri"/>
      <w:kern w:val="0"/>
      <w:sz w:val="28"/>
      <w:szCs w:val="28"/>
      <w:lang w:val="en-US" w:eastAsia="en-US" w:bidi="ar-SA"/>
    </w:rPr>
  </w:style>
  <w:style w:type="paragraph" w:styleId="3">
    <w:name w:val="heading 1"/>
    <w:basedOn w:val="1"/>
    <w:next w:val="1"/>
    <w:qFormat/>
    <w:uiPriority w:val="0"/>
    <w:pPr>
      <w:spacing w:before="480"/>
      <w:outlineLvl w:val="0"/>
    </w:pPr>
    <w:rPr>
      <w:rFonts w:ascii="Cambria" w:hAnsi="Cambria" w:eastAsia="仿宋_GB2312" w:cs="Cambria"/>
      <w:b/>
      <w:bCs/>
      <w:sz w:val="30"/>
    </w:rPr>
  </w:style>
  <w:style w:type="paragraph" w:styleId="4">
    <w:name w:val="heading 2"/>
    <w:basedOn w:val="1"/>
    <w:next w:val="1"/>
    <w:unhideWhenUsed/>
    <w:qFormat/>
    <w:uiPriority w:val="0"/>
    <w:pPr>
      <w:outlineLvl w:val="1"/>
    </w:pPr>
    <w:rPr>
      <w:rFonts w:ascii="Cambria" w:hAnsi="Cambria" w:cs="Cambria"/>
      <w:b/>
      <w:bCs/>
    </w:rPr>
  </w:style>
  <w:style w:type="paragraph" w:styleId="5">
    <w:name w:val="heading 3"/>
    <w:basedOn w:val="1"/>
    <w:next w:val="1"/>
    <w:unhideWhenUsed/>
    <w:qFormat/>
    <w:uiPriority w:val="0"/>
    <w:pPr>
      <w:keepNext/>
      <w:keepLines/>
      <w:spacing w:after="0" w:line="560" w:lineRule="exact"/>
      <w:ind w:firstLine="200" w:firstLineChars="200"/>
      <w:outlineLvl w:val="2"/>
    </w:pPr>
    <w:rPr>
      <w:rFonts w:ascii="仿宋" w:hAnsi="仿宋" w:eastAsia="仿宋"/>
      <w:b/>
      <w:bCs/>
      <w:color w:val="000000"/>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qFormat/>
    <w:uiPriority w:val="0"/>
    <w:rPr>
      <w:rFonts w:ascii="仿宋_GB2312" w:eastAsia="仿宋_GB2312" w:cs="仿宋_GB2312"/>
    </w:rPr>
  </w:style>
  <w:style w:type="paragraph" w:styleId="7">
    <w:name w:val="Body Text Indent"/>
    <w:basedOn w:val="1"/>
    <w:next w:val="1"/>
    <w:qFormat/>
    <w:uiPriority w:val="0"/>
    <w:pPr>
      <w:ind w:firstLine="540" w:firstLineChars="180"/>
    </w:pPr>
    <w:rPr>
      <w:sz w:val="30"/>
    </w:rPr>
  </w:style>
  <w:style w:type="paragraph" w:styleId="8">
    <w:name w:val="List 2"/>
    <w:basedOn w:val="1"/>
    <w:qFormat/>
    <w:uiPriority w:val="0"/>
    <w:pPr>
      <w:spacing w:before="100" w:beforeAutospacing="1" w:after="100" w:afterAutospacing="1"/>
      <w:ind w:left="100" w:leftChars="200" w:hanging="200" w:hangingChars="200"/>
    </w:pPr>
  </w:style>
  <w:style w:type="paragraph" w:styleId="9">
    <w:name w:val="footer"/>
    <w:basedOn w:val="1"/>
    <w:next w:val="10"/>
    <w:qFormat/>
    <w:uiPriority w:val="0"/>
    <w:pPr>
      <w:snapToGrid w:val="0"/>
      <w:jc w:val="left"/>
    </w:pPr>
    <w:rPr>
      <w:sz w:val="18"/>
      <w:szCs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line="240" w:lineRule="auto"/>
    </w:pPr>
    <w:rPr>
      <w:rFonts w:ascii="宋体" w:hAnsi="宋体" w:eastAsia="宋体" w:cs="宋体"/>
      <w:sz w:val="24"/>
      <w:szCs w:val="24"/>
      <w:lang w:eastAsia="zh-CN"/>
    </w:rPr>
  </w:style>
  <w:style w:type="paragraph" w:styleId="12">
    <w:name w:val="Body Text First Indent 2"/>
    <w:basedOn w:val="7"/>
    <w:next w:val="1"/>
    <w:qFormat/>
    <w:uiPriority w:val="0"/>
    <w:pPr>
      <w:ind w:firstLine="420" w:firstLineChars="200"/>
      <w:jc w:val="left"/>
    </w:pPr>
    <w:rPr>
      <w:rFonts w:ascii="Calibri" w:hAnsi="Calibri"/>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5763</Words>
  <Characters>6496</Characters>
  <Lines>0</Lines>
  <Paragraphs>0</Paragraphs>
  <TotalTime>6</TotalTime>
  <ScaleCrop>false</ScaleCrop>
  <LinksUpToDate>false</LinksUpToDate>
  <CharactersWithSpaces>6500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kylin</cp:lastModifiedBy>
  <cp:lastPrinted>2022-10-28T01:33:00Z</cp:lastPrinted>
  <dcterms:modified xsi:type="dcterms:W3CDTF">2025-01-14T14:30:51Z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D60303BECF9CB4EB9B048667A59D993B</vt:lpwstr>
  </property>
</Properties>
</file>