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hint="eastAsia" w:ascii="仿宋_GB2312" w:hAnsi="宋体" w:eastAsia="仿宋_GB2312"/>
          <w:b/>
          <w:bCs/>
          <w:color w:val="auto"/>
          <w:kern w:val="0"/>
          <w:sz w:val="36"/>
          <w:szCs w:val="36"/>
          <w:highlight w:val="none"/>
        </w:rPr>
      </w:pPr>
      <w:r>
        <w:rPr>
          <w:rFonts w:hint="eastAsia" w:ascii="仿宋_GB2312" w:hAnsi="宋体" w:eastAsia="仿宋_GB2312"/>
          <w:b/>
          <w:bCs/>
          <w:color w:val="auto"/>
          <w:kern w:val="0"/>
          <w:sz w:val="36"/>
          <w:szCs w:val="36"/>
          <w:highlight w:val="none"/>
        </w:rPr>
        <w:t>部门收入总表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单位：万元</w:t>
      </w:r>
    </w:p>
    <w:tbl>
      <w:tblPr>
        <w:tblStyle w:val="2"/>
        <w:tblW w:w="13890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009"/>
        <w:gridCol w:w="1035"/>
        <w:gridCol w:w="1020"/>
        <w:gridCol w:w="728"/>
        <w:gridCol w:w="839"/>
        <w:gridCol w:w="860"/>
        <w:gridCol w:w="839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80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本年收入合计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财政拨款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预算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收入</w:t>
            </w:r>
          </w:p>
        </w:tc>
        <w:tc>
          <w:tcPr>
            <w:tcW w:w="25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事业预算收入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上级补助预算收入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附属单位上缴预算收入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经营预算收入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债务预算收入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非同级财政拨款预算收入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投资预算收益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其他预算收入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0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一般公共预算财政拨款收入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政府性基金预算财政拨款收入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86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其中：</w:t>
            </w:r>
          </w:p>
        </w:tc>
        <w:tc>
          <w:tcPr>
            <w:tcW w:w="83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非本级财政拨款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本级横向财政拨款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非同级财政拨款（科研及辅助活动）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纳入财政专户管理的非税收入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90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86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1407.40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bookmarkEnd w:id="0"/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C2AA0"/>
    <w:rsid w:val="1B0D275E"/>
    <w:rsid w:val="203E70DD"/>
    <w:rsid w:val="32264187"/>
    <w:rsid w:val="38C43271"/>
    <w:rsid w:val="68683001"/>
    <w:rsid w:val="6D0C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2020-04-30T06:34:00Z</dcterms:created>
  <dc:creator>lrone</dc:creator>
  <cp:lastModifiedBy>lrone</cp:lastModifiedBy>
  <dcterms:modified xsi:type="dcterms:W3CDTF">2020-04-30T06:35:03Z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