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部门收支预算总表</w:t>
      </w:r>
    </w:p>
    <w:p>
      <w:pPr>
        <w:widowControl/>
        <w:jc w:val="right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单位：万元</w:t>
      </w:r>
    </w:p>
    <w:tbl>
      <w:tblPr>
        <w:tblStyle w:val="2"/>
        <w:tblW w:w="0" w:type="auto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5235"/>
        <w:gridCol w:w="1800"/>
        <w:gridCol w:w="5022"/>
        <w:gridCol w:w="1800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703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  <w:t>收     入</w:t>
            </w:r>
          </w:p>
        </w:tc>
        <w:tc>
          <w:tcPr>
            <w:tcW w:w="682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  <w:t>支     出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  <w:t>预算数</w:t>
            </w: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highlight w:val="none"/>
              </w:rPr>
              <w:t>预算数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一、财政拨款预算收入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一、行政支出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（1）一般公共预算财政拨款收入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其中：财政拨款支出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（2） 政府性基金预算财政拨款收入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  非同级财政拨款支出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二、事业预算收入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二、事业支出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其中：非同级财政拨款（科研及辅助活动）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其中：财政拨款支出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纳入财政专户管理的非税收入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  非同级财政拨款支出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三、上级补助预算收入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三、经营支出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四、附属单位上缴预算收入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四、上缴上级支出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五、经营预算收入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五、对附属单位补助支出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六、债务预算收入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六、投资支出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七、非同级财政拨款预算收入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七、债务还本支出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八、投资预算收益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八、其他支出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九、其他预算收入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本年收入合计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本年支出合计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十、上年结转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九、年末结转结余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（1）财政拨款结转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（1）财政拨款结转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其中：一般公共预算财政拨款收入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其中：一般公共预算财政拨款收入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政府性基金预算财政拨款收入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政府性基金预算财政拨款收入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（2）非财政拨款结转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（2）财政拨款结余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其中：本级横向财政拨款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其中：一般公共预算财政拨款收入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非本级财政拨款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政府性基金预算财政拨款收入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十一、上年结余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（3）非财政拨款结转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（1）财政拨款结余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其中：本级横向财政拨款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其中：一般公共预算财政拨款收入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非本级财政拨款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政府性基金预算财政拨款收入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（4）非财政拨款结余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（2）非财政拨款结余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其中：本级横向财政拨款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其中：本级横向财政拨款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非本级财政拨款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            非本级财政拨款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（5）专用结余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（3）专用结余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（6）经营结余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 xml:space="preserve">    （4）经营结余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6" w:hRule="atLeast"/>
        </w:trPr>
        <w:tc>
          <w:tcPr>
            <w:tcW w:w="5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收入总计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5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支出总计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F1917"/>
    <w:rsid w:val="04CF1917"/>
    <w:rsid w:val="1B0D275E"/>
    <w:rsid w:val="203E70DD"/>
    <w:rsid w:val="32264187"/>
    <w:rsid w:val="38C43271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2020-04-30T06:33:00Z</dcterms:created>
  <dc:creator>lrone</dc:creator>
  <cp:lastModifiedBy>lrone</cp:lastModifiedBy>
  <dcterms:modified xsi:type="dcterms:W3CDTF">2020-04-30T06:33:58Z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