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hint="eastAsia" w:ascii="仿宋_GB2312" w:hAnsi="宋体" w:eastAsia="仿宋_GB2312"/>
          <w:b/>
          <w:bCs/>
          <w:color w:val="auto"/>
          <w:kern w:val="0"/>
          <w:sz w:val="36"/>
          <w:szCs w:val="36"/>
          <w:highlight w:val="none"/>
        </w:rPr>
      </w:pPr>
      <w:r>
        <w:rPr>
          <w:rFonts w:hint="eastAsia" w:ascii="仿宋_GB2312" w:hAnsi="宋体" w:eastAsia="仿宋_GB2312"/>
          <w:b/>
          <w:bCs/>
          <w:color w:val="auto"/>
          <w:kern w:val="0"/>
          <w:sz w:val="36"/>
          <w:szCs w:val="36"/>
          <w:highlight w:val="none"/>
        </w:rPr>
        <w:t>部门支出总表</w:t>
      </w:r>
      <w:bookmarkStart w:id="0" w:name="_GoBack"/>
      <w:bookmarkEnd w:id="0"/>
    </w:p>
    <w:p>
      <w:pPr>
        <w:rPr>
          <w:rFonts w:hint="eastAsia"/>
          <w:color w:val="auto"/>
          <w:szCs w:val="21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      单位：万元</w:t>
      </w:r>
    </w:p>
    <w:tbl>
      <w:tblPr>
        <w:tblStyle w:val="2"/>
        <w:tblW w:w="12998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3008"/>
        <w:gridCol w:w="945"/>
        <w:gridCol w:w="1020"/>
        <w:gridCol w:w="1080"/>
        <w:gridCol w:w="1005"/>
        <w:gridCol w:w="1520"/>
        <w:gridCol w:w="1316"/>
        <w:gridCol w:w="1184"/>
        <w:gridCol w:w="1065"/>
        <w:gridCol w:w="855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462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科目编码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本年支出合计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行政支出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事业支出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经营支出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上缴上级支出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对附属单位补助支出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投资支出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债务还本支出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其他支出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98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2080505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/>
                <w:color w:val="auto"/>
                <w:kern w:val="0"/>
                <w:sz w:val="13"/>
                <w:szCs w:val="13"/>
                <w:highlight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58.60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2089901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其他社会保障和就业支出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2101101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2101103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2120101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2120199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其他城乡社区管理事务支出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Calibri"/>
                <w:i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2120501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城乡社区环境卫生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2210201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60" w:hRule="atLeast"/>
        </w:trPr>
        <w:tc>
          <w:tcPr>
            <w:tcW w:w="3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　　2210203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-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购房补贴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Calibri" w:hAnsi="Calibri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Calibri" w:hAnsi="Calibri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Calibri" w:hAnsi="Calibri" w:cs="宋体"/>
                <w:color w:val="auto"/>
                <w:kern w:val="0"/>
                <w:sz w:val="13"/>
                <w:szCs w:val="13"/>
                <w:highlight w:val="none"/>
              </w:rPr>
            </w:pP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31AF0"/>
    <w:rsid w:val="1B0D275E"/>
    <w:rsid w:val="203E70DD"/>
    <w:rsid w:val="32264187"/>
    <w:rsid w:val="38C43271"/>
    <w:rsid w:val="5B931AF0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2020-04-30T06:35:00Z</dcterms:created>
  <dc:creator>lrone</dc:creator>
  <cp:lastModifiedBy>lrone</cp:lastModifiedBy>
  <dcterms:modified xsi:type="dcterms:W3CDTF">2020-04-30T06:38:15Z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