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海原县</w:t>
      </w:r>
      <w:r>
        <w:rPr>
          <w:rFonts w:hint="eastAsia" w:ascii="方正小标宋简体" w:hAnsi="方正小标宋简体" w:eastAsia="方正小标宋简体" w:cs="方正小标宋简体"/>
          <w:b w:val="0"/>
          <w:bCs w:val="0"/>
          <w:color w:val="auto"/>
          <w:sz w:val="44"/>
          <w:szCs w:val="44"/>
          <w:lang w:val="en-US" w:eastAsia="zh-CN"/>
        </w:rPr>
        <w:t>2024</w:t>
      </w:r>
      <w:r>
        <w:rPr>
          <w:rFonts w:hint="eastAsia" w:ascii="方正小标宋简体" w:hAnsi="方正小标宋简体" w:eastAsia="方正小标宋简体" w:cs="方正小标宋简体"/>
          <w:b w:val="0"/>
          <w:bCs w:val="0"/>
          <w:color w:val="auto"/>
          <w:sz w:val="44"/>
          <w:szCs w:val="44"/>
        </w:rPr>
        <w:t>年</w:t>
      </w:r>
      <w:r>
        <w:rPr>
          <w:rFonts w:hint="eastAsia" w:ascii="方正小标宋简体" w:hAnsi="方正小标宋简体" w:eastAsia="方正小标宋简体" w:cs="方正小标宋简体"/>
          <w:b w:val="0"/>
          <w:bCs w:val="0"/>
          <w:color w:val="auto"/>
          <w:sz w:val="44"/>
          <w:szCs w:val="44"/>
          <w:lang w:val="en-US" w:eastAsia="zh-CN"/>
        </w:rPr>
        <w:t>重大传染病防控</w:t>
      </w:r>
      <w:r>
        <w:rPr>
          <w:rFonts w:hint="eastAsia" w:ascii="方正小标宋简体" w:hAnsi="方正小标宋简体" w:eastAsia="方正小标宋简体" w:cs="方正小标宋简体"/>
          <w:b w:val="0"/>
          <w:bCs w:val="0"/>
          <w:color w:val="auto"/>
          <w:sz w:val="44"/>
          <w:szCs w:val="44"/>
        </w:rPr>
        <w:t>项目支出绩效评价报告</w:t>
      </w:r>
    </w:p>
    <w:p>
      <w:pPr>
        <w:ind w:left="0" w:leftChars="0" w:firstLine="640" w:firstLineChars="200"/>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t>一、项目介绍</w:t>
      </w:r>
      <w:r>
        <w:rPr>
          <w:rFonts w:hint="eastAsia" w:ascii="黑体" w:hAnsi="黑体" w:eastAsia="黑体" w:cs="黑体"/>
          <w:b w:val="0"/>
          <w:bCs w:val="0"/>
          <w:color w:val="auto"/>
          <w:sz w:val="32"/>
          <w:szCs w:val="32"/>
          <w:lang w:val="en-US" w:eastAsia="zh-CN"/>
        </w:rPr>
        <w:t>及资金及批复情况</w:t>
      </w:r>
    </w:p>
    <w:p>
      <w:pPr>
        <w:keepNext w:val="0"/>
        <w:keepLines w:val="0"/>
        <w:pageBreakBefore w:val="0"/>
        <w:kinsoku/>
        <w:wordWrap/>
        <w:overflowPunct/>
        <w:topLinePunct w:val="0"/>
        <w:bidi w:val="0"/>
        <w:spacing w:line="600" w:lineRule="exact"/>
        <w:ind w:firstLine="640" w:firstLineChars="200"/>
        <w:textAlignment w:val="auto"/>
        <w:rPr>
          <w:rFonts w:hint="eastAsia"/>
          <w:color w:val="auto"/>
          <w:lang w:val="en-US" w:eastAsia="zh-CN"/>
        </w:rPr>
      </w:pPr>
      <w:r>
        <w:rPr>
          <w:rFonts w:hint="eastAsia" w:ascii="仿宋" w:hAnsi="仿宋" w:eastAsia="仿宋" w:cs="仿宋"/>
          <w:b w:val="0"/>
          <w:bCs w:val="0"/>
          <w:color w:val="auto"/>
          <w:sz w:val="32"/>
          <w:szCs w:val="32"/>
          <w:lang w:val="en-US" w:eastAsia="zh-CN"/>
        </w:rPr>
        <w:t>2024年海原县</w:t>
      </w:r>
      <w:r>
        <w:rPr>
          <w:rFonts w:hint="eastAsia" w:ascii="仿宋" w:hAnsi="仿宋" w:eastAsia="仿宋" w:cs="仿宋"/>
          <w:b w:val="0"/>
          <w:bCs w:val="0"/>
          <w:color w:val="auto"/>
          <w:sz w:val="32"/>
          <w:szCs w:val="32"/>
          <w:lang w:eastAsia="zh-CN"/>
        </w:rPr>
        <w:t>重大传染病防控项目</w:t>
      </w:r>
      <w:r>
        <w:rPr>
          <w:rFonts w:hint="eastAsia" w:ascii="仿宋" w:hAnsi="仿宋" w:eastAsia="仿宋" w:cs="仿宋"/>
          <w:b w:val="0"/>
          <w:bCs w:val="0"/>
          <w:color w:val="auto"/>
          <w:sz w:val="32"/>
          <w:szCs w:val="32"/>
          <w:lang w:val="en-US" w:eastAsia="zh-CN"/>
        </w:rPr>
        <w:t>包括：1、扩大国家免疫规划3.5万元；2、艾滋病防治监测干预12万元；3、结核病防治12.6万元；4、寄生虫病防治45万元；5、重点传染病及健康危害因素监测（其中：本土新型冠状病毒变异监测3.2万元、细菌性传染病监测2万元、</w:t>
      </w:r>
      <w:r>
        <w:rPr>
          <w:rFonts w:hint="default" w:ascii="仿宋" w:hAnsi="仿宋" w:eastAsia="仿宋" w:cs="仿宋"/>
          <w:b w:val="0"/>
          <w:bCs w:val="0"/>
          <w:color w:val="auto"/>
          <w:sz w:val="32"/>
          <w:szCs w:val="32"/>
          <w:lang w:val="en-US" w:eastAsia="zh-CN"/>
        </w:rPr>
        <w:t>手足口病监测</w:t>
      </w:r>
      <w:r>
        <w:rPr>
          <w:rFonts w:hint="eastAsia" w:ascii="仿宋" w:hAnsi="仿宋" w:eastAsia="仿宋" w:cs="仿宋"/>
          <w:b w:val="0"/>
          <w:bCs w:val="0"/>
          <w:color w:val="auto"/>
          <w:sz w:val="32"/>
          <w:szCs w:val="32"/>
          <w:lang w:val="en-US" w:eastAsia="zh-CN"/>
        </w:rPr>
        <w:t>0.6万元，布病监测20万元，出血热监测12万元，呼吸道综合监测项目9万元，人禽流感、SARS防控监测0.5万元，饮用水卫生监测17万元，学生健康危险因素及常见病监测与干预工作20万元），6、鼠疫防治监测26.2万元，7、精神卫生和慢性非传染性疾病防治（其中：重性精神疾病防控33万元，癫痫防治7万元，国家级死因监测3.8万元，肿瘤随访登记5.5万元，学生营养状况监测1.5万元），8、重点传染病及健康危害因素监测（食品安全风险监测22.35万元），</w:t>
      </w:r>
    </w:p>
    <w:p>
      <w:pPr>
        <w:pStyle w:val="6"/>
        <w:keepNext w:val="0"/>
        <w:keepLines w:val="0"/>
        <w:pageBreakBefore w:val="0"/>
        <w:widowControl w:val="0"/>
        <w:numPr>
          <w:ilvl w:val="0"/>
          <w:numId w:val="0"/>
        </w:numPr>
        <w:kinsoku/>
        <w:wordWrap/>
        <w:overflowPunct/>
        <w:topLinePunct w:val="0"/>
        <w:autoSpaceDE/>
        <w:autoSpaceDN/>
        <w:bidi w:val="0"/>
        <w:adjustRightInd/>
        <w:spacing w:line="600" w:lineRule="exact"/>
        <w:ind w:firstLine="723" w:firstLineChars="200"/>
        <w:jc w:val="left"/>
        <w:textAlignment w:val="auto"/>
        <w:rPr>
          <w:rFonts w:hint="eastAsia" w:ascii="楷体" w:hAnsi="楷体" w:eastAsia="楷体" w:cs="楷体"/>
          <w:b/>
          <w:bCs/>
          <w:color w:val="auto"/>
          <w:sz w:val="36"/>
          <w:szCs w:val="36"/>
          <w:lang w:eastAsia="zh-CN"/>
        </w:rPr>
      </w:pPr>
      <w:r>
        <w:rPr>
          <w:rFonts w:hint="eastAsia" w:ascii="楷体" w:hAnsi="楷体" w:eastAsia="楷体" w:cs="楷体"/>
          <w:b/>
          <w:bCs/>
          <w:color w:val="auto"/>
          <w:sz w:val="36"/>
          <w:szCs w:val="36"/>
        </w:rPr>
        <w:t>项目绩效目标</w:t>
      </w:r>
      <w:r>
        <w:rPr>
          <w:rFonts w:hint="eastAsia" w:ascii="楷体" w:hAnsi="楷体" w:eastAsia="楷体" w:cs="楷体"/>
          <w:b/>
          <w:bCs/>
          <w:color w:val="auto"/>
          <w:sz w:val="36"/>
          <w:szCs w:val="36"/>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总体目标:</w:t>
      </w:r>
      <w:r>
        <w:rPr>
          <w:rFonts w:hint="eastAsia" w:ascii="仿宋" w:hAnsi="仿宋" w:eastAsia="仿宋" w:cs="仿宋"/>
          <w:color w:val="auto"/>
          <w:sz w:val="32"/>
          <w:szCs w:val="32"/>
          <w:lang w:val="en-US" w:eastAsia="zh-CN"/>
        </w:rPr>
        <w:t>1.重大传染病防控项目，包括扩大国家免疫规划、艾滋病防治、结核病防治、血吸虫与包虫病防治、精神卫生和慢性非传染性疾病防治、重点传染病及健康危害因素监测六类项目。自治区在提前告知的基础上，根据财社〔2023〕63号和国疾控规财发〔2023〕15号，综合考虑国家下达的工作任务、自治区项目单位和各市县区工作任务量、各市县区上年度项目执行情况，进行调整分配。2.精神卫生和慢性非传染性疾病防治项目，包括重性精神疾病防控、癫痫防治、上消化道癌早诊早治、大肠癌早诊早治、城市癌症早诊早治、脑卒中高危人群筛查和干预、心血管病高危人群早期筛查与综合干预、慢性病综合防控能力建设、慢阻肺高危人群早期筛查与综合干预、儿童口腔疾病综合干预、肿瘤随访登记、国家级死因监测、居民慢性病及危险因素监测、居民肌肉骨骼疾病调查、心脑血管疾病监测、特定健康问题哨点监测、食物成分监测、居民营养与健康状况监测项目、农村义务教育学生营养改善计划膳食指导与营养教育等。3.重点传染病及健康危害因素监测－新冠病毒感染等重点传染病监测项目包括病毒性传染病病原学监测、本土新型冠状病毒变异监测、输入新型冠状病毒变异监测、细菌性传染病监测、扩大哨点医院新型冠状病毒监测、城市污水新冠病毒监测、病媒生物监测。4.重点传染病及健康危害因素监测－基本公共卫生划转监测项目，根据重大疾病与健康危害因素监测工作规范，手足口病监测、布病监测、流行性出血热监测、流感监测、住院严重急性呼吸道感染、麻风病监测、疟疾等寄生虫病监测、伤害监测、饮用水卫生监测、环境卫生监测、学生健康危险因素及常见病监测与干预、人禽流感预警及SARS防治监测、鼠疫防治监测、食品安全风险监测、妇幼监测、烟草流行监测、居民健康素养监测等。</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二、项目实施及管理情况</w:t>
      </w:r>
    </w:p>
    <w:p>
      <w:pPr>
        <w:keepNext w:val="0"/>
        <w:keepLines w:val="0"/>
        <w:pageBreakBefore w:val="0"/>
        <w:widowControl w:val="0"/>
        <w:kinsoku/>
        <w:wordWrap/>
        <w:overflowPunct/>
        <w:topLinePunct w:val="0"/>
        <w:autoSpaceDE/>
        <w:autoSpaceDN/>
        <w:bidi w:val="0"/>
        <w:adjustRightInd/>
        <w:spacing w:line="600" w:lineRule="exact"/>
        <w:ind w:left="0" w:leftChars="0"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(一)资金计划、到位及使用情况。</w:t>
      </w:r>
    </w:p>
    <w:p>
      <w:pPr>
        <w:keepNext w:val="0"/>
        <w:keepLines w:val="0"/>
        <w:pageBreakBefore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b w:val="0"/>
          <w:bCs w:val="0"/>
          <w:color w:val="auto"/>
          <w:sz w:val="32"/>
          <w:szCs w:val="32"/>
          <w:lang w:val="en-US" w:eastAsia="zh-CN"/>
        </w:rPr>
        <w:t>2024年海原县</w:t>
      </w:r>
      <w:r>
        <w:rPr>
          <w:rFonts w:hint="eastAsia" w:ascii="仿宋" w:hAnsi="仿宋" w:eastAsia="仿宋" w:cs="仿宋"/>
          <w:b w:val="0"/>
          <w:bCs w:val="0"/>
          <w:color w:val="auto"/>
          <w:sz w:val="32"/>
          <w:szCs w:val="32"/>
          <w:lang w:eastAsia="zh-CN"/>
        </w:rPr>
        <w:t>重大传染病防控项目</w:t>
      </w:r>
      <w:r>
        <w:rPr>
          <w:rFonts w:hint="eastAsia" w:ascii="仿宋" w:hAnsi="仿宋" w:eastAsia="仿宋" w:cs="仿宋"/>
          <w:b w:val="0"/>
          <w:bCs w:val="0"/>
          <w:color w:val="auto"/>
          <w:sz w:val="32"/>
          <w:szCs w:val="32"/>
          <w:lang w:val="en-US" w:eastAsia="zh-CN"/>
        </w:rPr>
        <w:t>包括：1、扩大国家免疫规划3.5万元；2、艾滋病防治监测干预12万元；3、结核病防治12.6万元；4、寄生虫病防治45万元；5、重点传染病及健康危害因素监测（其中：本土新型冠状病毒变异监测3.2万元、细菌性传染病监测2万元、</w:t>
      </w:r>
      <w:r>
        <w:rPr>
          <w:rFonts w:hint="default" w:ascii="仿宋" w:hAnsi="仿宋" w:eastAsia="仿宋" w:cs="仿宋"/>
          <w:b w:val="0"/>
          <w:bCs w:val="0"/>
          <w:color w:val="auto"/>
          <w:sz w:val="32"/>
          <w:szCs w:val="32"/>
          <w:lang w:val="en-US" w:eastAsia="zh-CN"/>
        </w:rPr>
        <w:t>手足口病监测</w:t>
      </w:r>
      <w:r>
        <w:rPr>
          <w:rFonts w:hint="eastAsia" w:ascii="仿宋" w:hAnsi="仿宋" w:eastAsia="仿宋" w:cs="仿宋"/>
          <w:b w:val="0"/>
          <w:bCs w:val="0"/>
          <w:color w:val="auto"/>
          <w:sz w:val="32"/>
          <w:szCs w:val="32"/>
          <w:lang w:val="en-US" w:eastAsia="zh-CN"/>
        </w:rPr>
        <w:t>0.6万元，布病监测20万元，出血热监测12万元，呼吸道综合监测项目9万元，人禽流感、SARS防控监测0.5万元，饮用水卫生监测17万元，学生健康危险因素及常见病监测与干预工作20万元），6、鼠疫防治监测26.2万元，7、精神卫生和慢性非传染性疾病防治（其中：重性精神疾病防控33万元，癫痫防治7万元，国家级死因监测3.8万元，肿瘤随访登记5.5万元，学生营养状况监测1.5万元），8、重点传染病及健康危害因素监测（食品安全风险监测22.35万元），分两批拨付于2024年1月26日165.86万元和2024年10月9日87.69万元，合计253.55万元（其中：33.9792万元本单位根据重大公共卫生服务工作量二次分配各乡镇卫生院、社区卫生服务站），</w:t>
      </w:r>
      <w:r>
        <w:rPr>
          <w:rFonts w:hint="eastAsia" w:ascii="仿宋" w:hAnsi="仿宋" w:eastAsia="仿宋" w:cs="仿宋"/>
          <w:color w:val="auto"/>
          <w:sz w:val="32"/>
          <w:szCs w:val="32"/>
        </w:rPr>
        <w:t>已经纳入年初预算截止评价时点实际已经到位，资金到位率100%到位及时。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rPr>
        <w:t>2、资金使用。截止评价时间点项目资金的实际支出</w:t>
      </w:r>
      <w:r>
        <w:rPr>
          <w:rFonts w:hint="eastAsia" w:ascii="仿宋" w:hAnsi="仿宋" w:eastAsia="仿宋" w:cs="仿宋"/>
          <w:color w:val="auto"/>
          <w:sz w:val="32"/>
          <w:szCs w:val="32"/>
          <w:lang w:val="en-US" w:eastAsia="zh-CN"/>
        </w:rPr>
        <w:t>情况：重大公共卫生项目155.98元（不含</w:t>
      </w:r>
      <w:r>
        <w:rPr>
          <w:rFonts w:hint="eastAsia" w:ascii="仿宋" w:hAnsi="仿宋" w:eastAsia="仿宋" w:cs="仿宋"/>
          <w:b w:val="0"/>
          <w:bCs w:val="0"/>
          <w:color w:val="auto"/>
          <w:sz w:val="32"/>
          <w:szCs w:val="32"/>
          <w:lang w:val="en-US" w:eastAsia="zh-CN"/>
        </w:rPr>
        <w:t>33.9792万元本单位根据重大公共卫生服务工作量二次分配各乡镇卫生院、社区卫生服务站）</w:t>
      </w: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pacing w:line="600" w:lineRule="exact"/>
        <w:ind w:left="0" w:leftChars="0"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(二)项目财务管理情况。</w:t>
      </w:r>
    </w:p>
    <w:p>
      <w:pPr>
        <w:keepNext w:val="0"/>
        <w:keepLines w:val="0"/>
        <w:pageBreakBefore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疾控中心的所有项目资金都是按照专款专用单独设置科目，项目资金的使用是有严格的计划-----审批制度照并执行有关管理规定。疫苗有专人、专账、专库管理，建立建全疫苗领发登记，出入有账目，做到帐苗相符:每月对疫苗入库、出库、库存数量进行统计，汇总后上报财务科及分管领导。半年、全年要对疫苗使用及库存进行盘点。会计核算及账务处理符合规范，及时处理。</w:t>
      </w:r>
    </w:p>
    <w:p>
      <w:pPr>
        <w:keepNext w:val="0"/>
        <w:keepLines w:val="0"/>
        <w:pageBreakBefore w:val="0"/>
        <w:kinsoku/>
        <w:wordWrap/>
        <w:overflowPunct/>
        <w:topLinePunct w:val="0"/>
        <w:bidi w:val="0"/>
        <w:spacing w:line="600" w:lineRule="exact"/>
        <w:ind w:left="0" w:leftChars="0"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(三)项目组织实施情况。</w:t>
      </w:r>
    </w:p>
    <w:p>
      <w:pPr>
        <w:keepNext w:val="0"/>
        <w:keepLines w:val="0"/>
        <w:pageBreakBefore w:val="0"/>
        <w:kinsoku/>
        <w:wordWrap/>
        <w:overflowPunct/>
        <w:topLinePunct w:val="0"/>
        <w:bidi w:val="0"/>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项目组织实施</w:t>
      </w:r>
      <w:r>
        <w:rPr>
          <w:rFonts w:hint="eastAsia" w:ascii="仿宋" w:hAnsi="仿宋" w:eastAsia="仿宋" w:cs="仿宋"/>
          <w:color w:val="auto"/>
          <w:sz w:val="32"/>
          <w:szCs w:val="32"/>
          <w:lang w:val="en-US" w:eastAsia="zh-CN"/>
        </w:rPr>
        <w:t>情况：1、</w:t>
      </w:r>
      <w:r>
        <w:rPr>
          <w:rFonts w:hint="eastAsia" w:ascii="仿宋" w:hAnsi="仿宋" w:eastAsia="仿宋" w:cs="仿宋"/>
          <w:color w:val="auto"/>
          <w:sz w:val="32"/>
          <w:szCs w:val="32"/>
        </w:rPr>
        <w:t>免疫规划科负责财务进行监督管理。进货渠道遵循“市→县→乡镇(接种单位)”的原则，在领取接收第一类疫苗或购进第二类疫苗时应当进行查验，审核疫苗生产企业、疫苗批发企业的资质，并索取由药品检验机构依法签发的疫苗每批检验合格或者审核批准证明复印件(要有企业印章):索取的上述证明文件，保存至超过疫苗有效期</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年备查。疫苗运输途中应有专人负责储存管理，认真填写冷链运转运输记录，详细记录疫苗名称、厂家、数量、批号、效期和运输时间、储存温度、环境温度、冷链设备、运输人员签字。</w:t>
      </w:r>
    </w:p>
    <w:p>
      <w:pPr>
        <w:keepNext w:val="0"/>
        <w:keepLines w:val="0"/>
        <w:pageBreakBefore w:val="0"/>
        <w:kinsoku/>
        <w:wordWrap/>
        <w:overflowPunct/>
        <w:topLinePunct w:val="0"/>
        <w:autoSpaceDE w:val="0"/>
        <w:autoSpaceDN w:val="0"/>
        <w:bidi w:val="0"/>
        <w:adjustRightInd w:val="0"/>
        <w:spacing w:line="600" w:lineRule="exact"/>
        <w:ind w:firstLine="640" w:firstLineChars="200"/>
        <w:textAlignment w:val="auto"/>
        <w:rPr>
          <w:rFonts w:hint="eastAsia" w:eastAsia="仿宋"/>
          <w:color w:val="auto"/>
          <w:lang w:val="en-US" w:eastAsia="zh-CN"/>
        </w:rPr>
      </w:pPr>
      <w:r>
        <w:rPr>
          <w:rFonts w:hint="eastAsia" w:ascii="仿宋_GB2312" w:hAnsi="仿宋_GB2312" w:eastAsia="仿宋_GB2312" w:cs="仿宋_GB2312"/>
          <w:color w:val="auto"/>
          <w:sz w:val="32"/>
          <w:szCs w:val="32"/>
          <w:lang w:val="en-US" w:eastAsia="zh-CN"/>
        </w:rPr>
        <w:t>2、依据规划，项目技术指标，</w:t>
      </w:r>
      <w:r>
        <w:rPr>
          <w:rFonts w:hint="eastAsia" w:ascii="仿宋_GB2312" w:hAnsi="仿宋_GB2312" w:eastAsia="仿宋_GB2312" w:cs="仿宋_GB2312"/>
          <w:color w:val="auto"/>
          <w:sz w:val="32"/>
          <w:szCs w:val="32"/>
          <w:lang w:eastAsia="zh-CN"/>
        </w:rPr>
        <w:t>每年组织一次集中疑似严重精神障碍患者筛查与诊断复核工作，各执行单位对所管辖的范围进行逐一筛查，按照要求填写相应的表格，并上报至市疾控中心。汇总后邀请自治区专家进行诊断复核，对符合严重精神障碍管理治疗项目的患者按照</w:t>
      </w:r>
      <w:r>
        <w:rPr>
          <w:rFonts w:hint="eastAsia" w:ascii="仿宋_GB2312" w:hAnsi="仿宋_GB2312" w:eastAsia="仿宋_GB2312" w:cs="仿宋_GB2312"/>
          <w:color w:val="auto"/>
          <w:sz w:val="32"/>
          <w:szCs w:val="32"/>
          <w:lang w:val="en-US" w:eastAsia="zh-CN"/>
        </w:rPr>
        <w:t>《严重精神障碍患者管理服务规范（2018版）》和《国家基本公共卫生服务项目（第三版）》工作要求，</w:t>
      </w:r>
      <w:r>
        <w:rPr>
          <w:rFonts w:hint="eastAsia" w:ascii="仿宋_GB2312" w:hAnsi="仿宋_GB2312" w:eastAsia="仿宋_GB2312" w:cs="仿宋_GB2312"/>
          <w:color w:val="auto"/>
          <w:sz w:val="32"/>
          <w:szCs w:val="32"/>
          <w:lang w:eastAsia="zh-CN"/>
        </w:rPr>
        <w:t>为其建立居民健康档案，提供随访和体检服务</w:t>
      </w:r>
      <w:r>
        <w:rPr>
          <w:rFonts w:hint="eastAsia" w:ascii="仿宋_GB2312" w:hAnsi="仿宋_GB2312" w:eastAsia="仿宋_GB2312" w:cs="仿宋_GB2312"/>
          <w:color w:val="auto"/>
          <w:sz w:val="32"/>
          <w:szCs w:val="32"/>
          <w:lang w:val="en-US" w:eastAsia="zh-CN"/>
        </w:rPr>
        <w:t>，将患者信息及时录入信息系统。</w:t>
      </w:r>
    </w:p>
    <w:p>
      <w:pPr>
        <w:keepNext w:val="0"/>
        <w:keepLines w:val="0"/>
        <w:pageBreakBefore w:val="0"/>
        <w:kinsoku/>
        <w:wordWrap/>
        <w:overflowPunct/>
        <w:topLinePunct w:val="0"/>
        <w:bidi w:val="0"/>
        <w:spacing w:line="600" w:lineRule="exact"/>
        <w:ind w:left="0" w:leftChars="0"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三、</w:t>
      </w:r>
      <w:r>
        <w:rPr>
          <w:rFonts w:hint="eastAsia" w:ascii="黑体" w:hAnsi="黑体" w:eastAsia="黑体" w:cs="黑体"/>
          <w:b w:val="0"/>
          <w:bCs w:val="0"/>
          <w:color w:val="auto"/>
          <w:sz w:val="32"/>
          <w:szCs w:val="32"/>
        </w:rPr>
        <w:t>项目绩效情况</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rPr>
          <w:rFonts w:hint="eastAsia" w:ascii="楷体_GB2312" w:hAnsi="楷体_GB2312" w:eastAsia="楷体_GB2312" w:cs="楷体_GB2312"/>
          <w:b w:val="0"/>
          <w:bCs w:val="0"/>
          <w:color w:val="000000"/>
          <w:sz w:val="32"/>
          <w:szCs w:val="32"/>
          <w:highlight w:val="none"/>
          <w:lang w:val="en-US" w:eastAsia="zh-CN"/>
        </w:rPr>
      </w:pPr>
      <w:r>
        <w:rPr>
          <w:rFonts w:hint="eastAsia" w:ascii="楷体_GB2312" w:hAnsi="楷体_GB2312" w:eastAsia="楷体_GB2312" w:cs="楷体_GB2312"/>
          <w:b/>
          <w:bCs/>
          <w:color w:val="000000"/>
          <w:sz w:val="32"/>
          <w:szCs w:val="32"/>
          <w:lang w:val="en-US" w:eastAsia="zh-CN"/>
        </w:rPr>
        <w:t>（一）重点指标完成情况。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val="0"/>
          <w:bCs w:val="0"/>
          <w:color w:val="auto"/>
          <w:spacing w:val="0"/>
          <w:kern w:val="0"/>
          <w:sz w:val="32"/>
          <w:szCs w:val="32"/>
          <w:highlight w:val="none"/>
          <w:lang w:val="en-US" w:eastAsia="zh-CN"/>
        </w:rPr>
      </w:pPr>
      <w:r>
        <w:rPr>
          <w:rFonts w:hint="eastAsia" w:ascii="仿宋_GB2312" w:hAnsi="仿宋_GB2312" w:eastAsia="仿宋_GB2312" w:cs="仿宋_GB2312"/>
          <w:b/>
          <w:bCs/>
          <w:color w:val="auto"/>
          <w:kern w:val="0"/>
          <w:sz w:val="32"/>
          <w:szCs w:val="32"/>
          <w:lang w:val="en-US" w:eastAsia="zh-CN"/>
          <w14:ligatures w14:val="none"/>
        </w:rPr>
        <w:t>1、免疫规划工作。</w:t>
      </w:r>
      <w:r>
        <w:rPr>
          <w:rFonts w:hint="eastAsia" w:ascii="仿宋_GB2312" w:hAnsi="仿宋_GB2312" w:eastAsia="仿宋_GB2312" w:cs="仿宋_GB2312"/>
          <w:b w:val="0"/>
          <w:bCs w:val="0"/>
          <w:color w:val="auto"/>
          <w:spacing w:val="0"/>
          <w:kern w:val="0"/>
          <w:sz w:val="32"/>
          <w:szCs w:val="32"/>
          <w:highlight w:val="none"/>
          <w:lang w:val="en-US" w:eastAsia="zh-CN"/>
        </w:rPr>
        <w:t>截止目前全县共出生儿童3575人，建立预防接种证3575人，建证率为100%；免疫规划疫苗运转12次，接种免疫规划疫苗10种，共95390剂次；接种非免疫规划疫苗18种，共9473剂次。0-6岁儿童累计时段接种率达90%；出生队列接种率达到90%的要求，个案接种信息完整率达100%，扫码接种率达到100%的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3" w:firstLineChars="200"/>
        <w:jc w:val="both"/>
        <w:textAlignment w:val="auto"/>
        <w:outlineLvl w:val="9"/>
        <w:rPr>
          <w:rFonts w:hint="default" w:ascii="仿宋_GB2312" w:hAnsi="仿宋_GB2312" w:eastAsia="仿宋_GB2312" w:cs="仿宋_GB2312"/>
          <w:b w:val="0"/>
          <w:bCs w:val="0"/>
          <w:color w:val="auto"/>
          <w:spacing w:val="0"/>
          <w:kern w:val="0"/>
          <w:sz w:val="32"/>
          <w:szCs w:val="32"/>
          <w:highlight w:val="none"/>
          <w:lang w:val="en-US" w:eastAsia="zh-CN"/>
        </w:rPr>
      </w:pPr>
      <w:r>
        <w:rPr>
          <w:rFonts w:hint="eastAsia" w:ascii="仿宋_GB2312" w:hAnsi="仿宋_GB2312" w:eastAsia="仿宋_GB2312" w:cs="仿宋_GB2312"/>
          <w:b/>
          <w:bCs/>
          <w:color w:val="auto"/>
          <w:kern w:val="0"/>
          <w:sz w:val="32"/>
          <w:szCs w:val="32"/>
          <w:lang w:val="en-US" w:eastAsia="zh-CN"/>
          <w14:ligatures w14:val="none"/>
        </w:rPr>
        <w:t>2、地方病防治工作。</w:t>
      </w:r>
      <w:r>
        <w:rPr>
          <w:rFonts w:hint="eastAsia" w:ascii="仿宋_GB2312" w:hAnsi="仿宋_GB2312" w:eastAsia="仿宋_GB2312" w:cs="仿宋_GB2312"/>
          <w:b w:val="0"/>
          <w:bCs w:val="0"/>
          <w:color w:val="auto"/>
          <w:spacing w:val="0"/>
          <w:kern w:val="0"/>
          <w:sz w:val="32"/>
          <w:szCs w:val="32"/>
          <w:highlight w:val="none"/>
          <w:lang w:val="en-US" w:eastAsia="zh-CN"/>
        </w:rPr>
        <w:t>截止12月底布病高危人群累计筛查43429人，完成102.58%。布病防治专项三年攻坚行动（2022-2024年）至目前累计网报759人，核实登记布病患者719人，其中2024年新发布病患者139人，发病率</w:t>
      </w:r>
      <w:r>
        <w:rPr>
          <w:rFonts w:hint="eastAsia" w:ascii="仿宋_GB2312" w:hAnsi="仿宋_GB2312" w:eastAsia="仿宋_GB2312" w:cs="仿宋_GB2312"/>
          <w:b w:val="0"/>
          <w:bCs w:val="0"/>
          <w:color w:val="auto"/>
          <w:sz w:val="32"/>
          <w:szCs w:val="32"/>
          <w:lang w:val="en-US" w:eastAsia="zh-CN"/>
        </w:rPr>
        <w:t>38.17</w:t>
      </w:r>
      <w:r>
        <w:rPr>
          <w:rFonts w:hint="eastAsia" w:ascii="仿宋_GB2312" w:hAnsi="仿宋_GB2312" w:eastAsia="仿宋_GB2312" w:cs="仿宋_GB2312"/>
          <w:b w:val="0"/>
          <w:bCs w:val="0"/>
          <w:color w:val="auto"/>
          <w:sz w:val="32"/>
          <w:szCs w:val="32"/>
          <w:lang w:eastAsia="zh-CN"/>
        </w:rPr>
        <w:t>/10万</w:t>
      </w:r>
      <w:r>
        <w:rPr>
          <w:rFonts w:hint="eastAsia" w:ascii="仿宋_GB2312" w:hAnsi="仿宋_GB2312" w:eastAsia="仿宋_GB2312" w:cs="仿宋_GB2312"/>
          <w:b w:val="0"/>
          <w:bCs w:val="0"/>
          <w:color w:val="auto"/>
          <w:spacing w:val="0"/>
          <w:kern w:val="0"/>
          <w:sz w:val="32"/>
          <w:szCs w:val="32"/>
          <w:highlight w:val="none"/>
          <w:lang w:val="en-US" w:eastAsia="zh-CN"/>
        </w:rPr>
        <w:t>。建档管理713人，建档管理率99.16%，包虫病整村推进完成100%。2024年包虫病B超筛查17372人次，完成163.65%。现有包虫病患者86人，建档管理率100%。随访率100%。2024年手术13人，项目救助申报13人，家犬驱虫率98.84%，完成土圆线虫检测样1007份、阳性11份；饮水型水中毒监测样658，全部合格；碘缺乏病采集盐样300份，合格率97.68；尿样300份，其中儿童200份，中位数254， 孕妇尿样100中位数187，均符合国家标准。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3"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kern w:val="0"/>
          <w:sz w:val="32"/>
          <w:szCs w:val="32"/>
          <w:lang w:val="en-US" w:eastAsia="zh-CN"/>
          <w14:ligatures w14:val="none"/>
        </w:rPr>
        <w:t>3、传染病防治及突发公共卫生事件报告和处置。</w:t>
      </w:r>
      <w:r>
        <w:rPr>
          <w:rFonts w:hint="eastAsia" w:ascii="仿宋_GB2312" w:hAnsi="仿宋_GB2312" w:eastAsia="仿宋_GB2312" w:cs="仿宋_GB2312"/>
          <w:b w:val="0"/>
          <w:bCs w:val="0"/>
          <w:color w:val="auto"/>
          <w:sz w:val="32"/>
          <w:szCs w:val="32"/>
          <w:lang w:eastAsia="zh-CN"/>
        </w:rPr>
        <w:t>截止1</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月底共报告法定传染病17种</w:t>
      </w:r>
      <w:r>
        <w:rPr>
          <w:rFonts w:hint="eastAsia" w:ascii="仿宋_GB2312" w:hAnsi="仿宋_GB2312" w:eastAsia="仿宋_GB2312" w:cs="仿宋_GB2312"/>
          <w:b w:val="0"/>
          <w:bCs w:val="0"/>
          <w:color w:val="auto"/>
          <w:sz w:val="32"/>
          <w:szCs w:val="32"/>
          <w:lang w:val="en-US" w:eastAsia="zh-CN"/>
        </w:rPr>
        <w:t>1659</w:t>
      </w:r>
      <w:r>
        <w:rPr>
          <w:rFonts w:hint="eastAsia" w:ascii="仿宋_GB2312" w:hAnsi="仿宋_GB2312" w:eastAsia="仿宋_GB2312" w:cs="仿宋_GB2312"/>
          <w:b w:val="0"/>
          <w:bCs w:val="0"/>
          <w:color w:val="auto"/>
          <w:sz w:val="32"/>
          <w:szCs w:val="32"/>
          <w:lang w:eastAsia="zh-CN"/>
        </w:rPr>
        <w:t>例，发病率</w:t>
      </w:r>
      <w:r>
        <w:rPr>
          <w:rFonts w:hint="eastAsia" w:ascii="仿宋_GB2312" w:hAnsi="仿宋_GB2312" w:eastAsia="仿宋_GB2312" w:cs="仿宋_GB2312"/>
          <w:b w:val="0"/>
          <w:bCs w:val="0"/>
          <w:color w:val="auto"/>
          <w:sz w:val="32"/>
          <w:szCs w:val="32"/>
          <w:lang w:val="en-US" w:eastAsia="zh-CN"/>
        </w:rPr>
        <w:t>494.77</w:t>
      </w:r>
      <w:r>
        <w:rPr>
          <w:rFonts w:hint="eastAsia" w:ascii="仿宋_GB2312" w:hAnsi="仿宋_GB2312" w:eastAsia="仿宋_GB2312" w:cs="仿宋_GB2312"/>
          <w:b w:val="0"/>
          <w:bCs w:val="0"/>
          <w:color w:val="auto"/>
          <w:sz w:val="32"/>
          <w:szCs w:val="32"/>
          <w:lang w:eastAsia="zh-CN"/>
        </w:rPr>
        <w:t>/10万，其中前五位传染病是：流行性感冒（</w:t>
      </w:r>
      <w:r>
        <w:rPr>
          <w:rFonts w:hint="eastAsia" w:ascii="仿宋_GB2312" w:hAnsi="仿宋_GB2312" w:eastAsia="仿宋_GB2312" w:cs="仿宋_GB2312"/>
          <w:b w:val="0"/>
          <w:bCs w:val="0"/>
          <w:color w:val="auto"/>
          <w:sz w:val="32"/>
          <w:szCs w:val="32"/>
          <w:lang w:val="en-US" w:eastAsia="zh-CN"/>
        </w:rPr>
        <w:t>506</w:t>
      </w:r>
      <w:r>
        <w:rPr>
          <w:rFonts w:hint="eastAsia" w:ascii="仿宋_GB2312" w:hAnsi="仿宋_GB2312" w:eastAsia="仿宋_GB2312" w:cs="仿宋_GB2312"/>
          <w:b w:val="0"/>
          <w:bCs w:val="0"/>
          <w:color w:val="auto"/>
          <w:sz w:val="32"/>
          <w:szCs w:val="32"/>
          <w:lang w:eastAsia="zh-CN"/>
        </w:rPr>
        <w:t>例，</w:t>
      </w:r>
      <w:r>
        <w:rPr>
          <w:rFonts w:hint="eastAsia" w:ascii="仿宋_GB2312" w:hAnsi="仿宋_GB2312" w:eastAsia="仿宋_GB2312" w:cs="仿宋_GB2312"/>
          <w:b w:val="0"/>
          <w:bCs w:val="0"/>
          <w:color w:val="auto"/>
          <w:sz w:val="32"/>
          <w:szCs w:val="32"/>
          <w:lang w:val="en-US" w:eastAsia="zh-CN"/>
        </w:rPr>
        <w:t>150.91</w:t>
      </w:r>
      <w:r>
        <w:rPr>
          <w:rFonts w:hint="eastAsia" w:ascii="仿宋_GB2312" w:hAnsi="仿宋_GB2312" w:eastAsia="仿宋_GB2312" w:cs="仿宋_GB2312"/>
          <w:b w:val="0"/>
          <w:bCs w:val="0"/>
          <w:color w:val="auto"/>
          <w:sz w:val="32"/>
          <w:szCs w:val="32"/>
          <w:lang w:eastAsia="zh-CN"/>
        </w:rPr>
        <w:t>/10万)；手足口病（</w:t>
      </w:r>
      <w:r>
        <w:rPr>
          <w:rFonts w:hint="eastAsia" w:ascii="仿宋_GB2312" w:hAnsi="仿宋_GB2312" w:eastAsia="仿宋_GB2312" w:cs="仿宋_GB2312"/>
          <w:b w:val="0"/>
          <w:bCs w:val="0"/>
          <w:color w:val="auto"/>
          <w:sz w:val="32"/>
          <w:szCs w:val="32"/>
          <w:lang w:val="en-US" w:eastAsia="zh-CN"/>
        </w:rPr>
        <w:t>309</w:t>
      </w:r>
      <w:r>
        <w:rPr>
          <w:rFonts w:hint="eastAsia" w:ascii="仿宋_GB2312" w:hAnsi="仿宋_GB2312" w:eastAsia="仿宋_GB2312" w:cs="仿宋_GB2312"/>
          <w:b w:val="0"/>
          <w:bCs w:val="0"/>
          <w:color w:val="auto"/>
          <w:sz w:val="32"/>
          <w:szCs w:val="32"/>
          <w:lang w:eastAsia="zh-CN"/>
        </w:rPr>
        <w:t>例，</w:t>
      </w:r>
      <w:r>
        <w:rPr>
          <w:rFonts w:hint="eastAsia" w:ascii="仿宋_GB2312" w:hAnsi="仿宋_GB2312" w:eastAsia="仿宋_GB2312" w:cs="仿宋_GB2312"/>
          <w:b w:val="0"/>
          <w:bCs w:val="0"/>
          <w:color w:val="auto"/>
          <w:sz w:val="32"/>
          <w:szCs w:val="32"/>
          <w:lang w:val="en-US" w:eastAsia="zh-CN"/>
        </w:rPr>
        <w:t>92.15</w:t>
      </w:r>
      <w:r>
        <w:rPr>
          <w:rFonts w:hint="eastAsia" w:ascii="仿宋_GB2312" w:hAnsi="仿宋_GB2312" w:eastAsia="仿宋_GB2312" w:cs="仿宋_GB2312"/>
          <w:b w:val="0"/>
          <w:bCs w:val="0"/>
          <w:color w:val="auto"/>
          <w:sz w:val="32"/>
          <w:szCs w:val="32"/>
          <w:lang w:eastAsia="zh-CN"/>
        </w:rPr>
        <w:t>/10万）；新型冠状病毒感染(</w:t>
      </w:r>
      <w:r>
        <w:rPr>
          <w:rFonts w:hint="eastAsia" w:ascii="仿宋_GB2312" w:hAnsi="仿宋_GB2312" w:eastAsia="仿宋_GB2312" w:cs="仿宋_GB2312"/>
          <w:b w:val="0"/>
          <w:bCs w:val="0"/>
          <w:color w:val="auto"/>
          <w:sz w:val="32"/>
          <w:szCs w:val="32"/>
          <w:lang w:val="en-US" w:eastAsia="zh-CN"/>
        </w:rPr>
        <w:t>166</w:t>
      </w:r>
      <w:r>
        <w:rPr>
          <w:rFonts w:hint="eastAsia" w:ascii="仿宋_GB2312" w:hAnsi="仿宋_GB2312" w:eastAsia="仿宋_GB2312" w:cs="仿宋_GB2312"/>
          <w:b w:val="0"/>
          <w:bCs w:val="0"/>
          <w:color w:val="auto"/>
          <w:sz w:val="32"/>
          <w:szCs w:val="32"/>
          <w:lang w:eastAsia="zh-CN"/>
        </w:rPr>
        <w:t>例，</w:t>
      </w:r>
      <w:r>
        <w:rPr>
          <w:rFonts w:hint="eastAsia" w:ascii="仿宋_GB2312" w:hAnsi="仿宋_GB2312" w:eastAsia="仿宋_GB2312" w:cs="仿宋_GB2312"/>
          <w:b w:val="0"/>
          <w:bCs w:val="0"/>
          <w:color w:val="auto"/>
          <w:sz w:val="32"/>
          <w:szCs w:val="32"/>
          <w:lang w:val="en-US" w:eastAsia="zh-CN"/>
        </w:rPr>
        <w:t>49.51</w:t>
      </w:r>
      <w:r>
        <w:rPr>
          <w:rFonts w:hint="eastAsia" w:ascii="仿宋_GB2312" w:hAnsi="仿宋_GB2312" w:eastAsia="仿宋_GB2312" w:cs="仿宋_GB2312"/>
          <w:b w:val="0"/>
          <w:bCs w:val="0"/>
          <w:color w:val="auto"/>
          <w:sz w:val="32"/>
          <w:szCs w:val="32"/>
          <w:lang w:eastAsia="zh-CN"/>
        </w:rPr>
        <w:t>/10万)；肺结核(</w:t>
      </w:r>
      <w:r>
        <w:rPr>
          <w:rFonts w:hint="eastAsia" w:ascii="仿宋_GB2312" w:hAnsi="仿宋_GB2312" w:eastAsia="仿宋_GB2312" w:cs="仿宋_GB2312"/>
          <w:b w:val="0"/>
          <w:bCs w:val="0"/>
          <w:color w:val="auto"/>
          <w:sz w:val="32"/>
          <w:szCs w:val="32"/>
          <w:lang w:val="en-US" w:eastAsia="zh-CN"/>
        </w:rPr>
        <w:t>145</w:t>
      </w:r>
      <w:r>
        <w:rPr>
          <w:rFonts w:hint="eastAsia" w:ascii="仿宋_GB2312" w:hAnsi="仿宋_GB2312" w:eastAsia="仿宋_GB2312" w:cs="仿宋_GB2312"/>
          <w:b w:val="0"/>
          <w:bCs w:val="0"/>
          <w:color w:val="auto"/>
          <w:sz w:val="32"/>
          <w:szCs w:val="32"/>
          <w:lang w:eastAsia="zh-CN"/>
        </w:rPr>
        <w:t>例，</w:t>
      </w:r>
      <w:r>
        <w:rPr>
          <w:rFonts w:hint="eastAsia" w:ascii="仿宋_GB2312" w:hAnsi="仿宋_GB2312" w:eastAsia="仿宋_GB2312" w:cs="仿宋_GB2312"/>
          <w:b w:val="0"/>
          <w:bCs w:val="0"/>
          <w:color w:val="auto"/>
          <w:sz w:val="32"/>
          <w:szCs w:val="32"/>
          <w:lang w:val="en-US" w:eastAsia="zh-CN"/>
        </w:rPr>
        <w:t>43.24</w:t>
      </w:r>
      <w:r>
        <w:rPr>
          <w:rFonts w:hint="eastAsia" w:ascii="仿宋_GB2312" w:hAnsi="仿宋_GB2312" w:eastAsia="仿宋_GB2312" w:cs="仿宋_GB2312"/>
          <w:b w:val="0"/>
          <w:bCs w:val="0"/>
          <w:color w:val="auto"/>
          <w:sz w:val="32"/>
          <w:szCs w:val="32"/>
          <w:lang w:eastAsia="zh-CN"/>
        </w:rPr>
        <w:t>/10万)；布病(</w:t>
      </w:r>
      <w:r>
        <w:rPr>
          <w:rFonts w:hint="eastAsia" w:ascii="仿宋_GB2312" w:hAnsi="仿宋_GB2312" w:eastAsia="仿宋_GB2312" w:cs="仿宋_GB2312"/>
          <w:b w:val="0"/>
          <w:bCs w:val="0"/>
          <w:color w:val="auto"/>
          <w:sz w:val="32"/>
          <w:szCs w:val="32"/>
          <w:lang w:val="en-US" w:eastAsia="zh-CN"/>
        </w:rPr>
        <w:t>141</w:t>
      </w:r>
      <w:r>
        <w:rPr>
          <w:rFonts w:hint="eastAsia" w:ascii="仿宋_GB2312" w:hAnsi="仿宋_GB2312" w:eastAsia="仿宋_GB2312" w:cs="仿宋_GB2312"/>
          <w:b w:val="0"/>
          <w:bCs w:val="0"/>
          <w:color w:val="auto"/>
          <w:sz w:val="32"/>
          <w:szCs w:val="32"/>
          <w:lang w:eastAsia="zh-CN"/>
        </w:rPr>
        <w:t>例，</w:t>
      </w:r>
      <w:r>
        <w:rPr>
          <w:rFonts w:hint="eastAsia" w:ascii="仿宋_GB2312" w:hAnsi="仿宋_GB2312" w:eastAsia="仿宋_GB2312" w:cs="仿宋_GB2312"/>
          <w:b w:val="0"/>
          <w:bCs w:val="0"/>
          <w:color w:val="auto"/>
          <w:sz w:val="32"/>
          <w:szCs w:val="32"/>
          <w:lang w:val="en-US" w:eastAsia="zh-CN"/>
        </w:rPr>
        <w:t>42.05</w:t>
      </w:r>
      <w:r>
        <w:rPr>
          <w:rFonts w:hint="eastAsia" w:ascii="仿宋_GB2312" w:hAnsi="仿宋_GB2312" w:eastAsia="仿宋_GB2312" w:cs="仿宋_GB2312"/>
          <w:b w:val="0"/>
          <w:bCs w:val="0"/>
          <w:color w:val="auto"/>
          <w:sz w:val="32"/>
          <w:szCs w:val="32"/>
          <w:lang w:eastAsia="zh-CN"/>
        </w:rPr>
        <w:t>/10万）。本年度无突发公共卫生事件发生。采集手足口病咽拭子标本</w:t>
      </w:r>
      <w:r>
        <w:rPr>
          <w:rFonts w:hint="eastAsia" w:ascii="仿宋_GB2312" w:hAnsi="仿宋_GB2312" w:eastAsia="仿宋_GB2312" w:cs="仿宋_GB2312"/>
          <w:b w:val="0"/>
          <w:bCs w:val="0"/>
          <w:color w:val="auto"/>
          <w:sz w:val="32"/>
          <w:szCs w:val="32"/>
          <w:lang w:val="en-US" w:eastAsia="zh-CN"/>
        </w:rPr>
        <w:t>124份，阳性标本95份，阳性率76.61%，其中CoxA16 81份、其他肠道病毒14份。采集流感样病例标本510份，流感病毒阳性49份，阳性率为9.61%，均为A(H1N1)pdm09；新冠病毒阳性10份，阳性率为1.96%。</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3" w:firstLineChars="200"/>
        <w:jc w:val="both"/>
        <w:textAlignment w:val="auto"/>
        <w:outlineLvl w:val="9"/>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bCs/>
          <w:color w:val="auto"/>
          <w:kern w:val="0"/>
          <w:sz w:val="32"/>
          <w:szCs w:val="32"/>
          <w:lang w:val="en-US" w:eastAsia="zh-CN"/>
          <w14:ligatures w14:val="none"/>
        </w:rPr>
        <w:t>4、鼠疫防治工作。</w:t>
      </w:r>
      <w:r>
        <w:rPr>
          <w:rFonts w:hint="eastAsia" w:ascii="仿宋_GB2312" w:hAnsi="仿宋_GB2312" w:eastAsia="仿宋_GB2312" w:cs="仿宋_GB2312"/>
          <w:b w:val="0"/>
          <w:bCs w:val="0"/>
          <w:color w:val="auto"/>
          <w:sz w:val="32"/>
          <w:szCs w:val="32"/>
        </w:rPr>
        <w:t>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rPr>
        <w:t>月份</w:t>
      </w:r>
      <w:r>
        <w:rPr>
          <w:rFonts w:hint="eastAsia" w:ascii="仿宋_GB2312" w:hAnsi="仿宋_GB2312" w:eastAsia="仿宋_GB2312" w:cs="仿宋_GB2312"/>
          <w:b w:val="0"/>
          <w:bCs w:val="0"/>
          <w:color w:val="auto"/>
          <w:sz w:val="32"/>
          <w:szCs w:val="32"/>
          <w:lang w:eastAsia="zh-CN"/>
        </w:rPr>
        <w:t>海城镇、红羊、曹洼</w:t>
      </w:r>
      <w:r>
        <w:rPr>
          <w:rFonts w:hint="eastAsia" w:ascii="仿宋_GB2312" w:hAnsi="仿宋_GB2312" w:eastAsia="仿宋_GB2312" w:cs="仿宋_GB2312"/>
          <w:b w:val="0"/>
          <w:bCs w:val="0"/>
          <w:color w:val="auto"/>
          <w:sz w:val="32"/>
          <w:szCs w:val="32"/>
        </w:rPr>
        <w:t>三个监测点共调查样方</w:t>
      </w:r>
      <w:r>
        <w:rPr>
          <w:rFonts w:hint="eastAsia" w:ascii="仿宋_GB2312" w:hAnsi="仿宋_GB2312" w:eastAsia="仿宋_GB2312" w:cs="仿宋_GB2312"/>
          <w:b w:val="0"/>
          <w:bCs w:val="0"/>
          <w:color w:val="auto"/>
          <w:sz w:val="32"/>
          <w:szCs w:val="32"/>
          <w:lang w:val="en-US" w:eastAsia="zh-CN"/>
        </w:rPr>
        <w:t>640</w:t>
      </w:r>
      <w:r>
        <w:rPr>
          <w:rFonts w:hint="eastAsia" w:ascii="仿宋_GB2312" w:hAnsi="仿宋_GB2312" w:eastAsia="仿宋_GB2312" w:cs="仿宋_GB2312"/>
          <w:b w:val="0"/>
          <w:bCs w:val="0"/>
          <w:color w:val="auto"/>
          <w:sz w:val="32"/>
          <w:szCs w:val="32"/>
        </w:rPr>
        <w:t>公顷</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捕鼠</w:t>
      </w:r>
      <w:r>
        <w:rPr>
          <w:rFonts w:hint="eastAsia" w:ascii="仿宋_GB2312" w:hAnsi="仿宋_GB2312" w:eastAsia="仿宋_GB2312" w:cs="仿宋_GB2312"/>
          <w:b w:val="0"/>
          <w:bCs w:val="0"/>
          <w:color w:val="auto"/>
          <w:sz w:val="32"/>
          <w:szCs w:val="32"/>
          <w:lang w:val="en-US" w:eastAsia="zh-CN"/>
        </w:rPr>
        <w:t>224</w:t>
      </w:r>
      <w:r>
        <w:rPr>
          <w:rFonts w:hint="eastAsia" w:ascii="仿宋_GB2312" w:hAnsi="仿宋_GB2312" w:eastAsia="仿宋_GB2312" w:cs="仿宋_GB2312"/>
          <w:b w:val="0"/>
          <w:bCs w:val="0"/>
          <w:color w:val="auto"/>
          <w:sz w:val="32"/>
          <w:szCs w:val="32"/>
        </w:rPr>
        <w:t>只，平均黄鼠密度0.3</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只/公顷。共剖检活体黄鼠</w:t>
      </w:r>
      <w:r>
        <w:rPr>
          <w:rFonts w:hint="eastAsia" w:ascii="仿宋_GB2312" w:hAnsi="仿宋_GB2312" w:eastAsia="仿宋_GB2312" w:cs="仿宋_GB2312"/>
          <w:b w:val="0"/>
          <w:bCs w:val="0"/>
          <w:color w:val="auto"/>
          <w:sz w:val="32"/>
          <w:szCs w:val="32"/>
          <w:lang w:val="en-US" w:eastAsia="zh-CN"/>
        </w:rPr>
        <w:t>1070</w:t>
      </w:r>
      <w:r>
        <w:rPr>
          <w:rFonts w:hint="eastAsia" w:ascii="仿宋_GB2312" w:hAnsi="仿宋_GB2312" w:eastAsia="仿宋_GB2312" w:cs="仿宋_GB2312"/>
          <w:b w:val="0"/>
          <w:bCs w:val="0"/>
          <w:color w:val="auto"/>
          <w:sz w:val="32"/>
          <w:szCs w:val="32"/>
        </w:rPr>
        <w:t>只，蚤培养</w:t>
      </w:r>
      <w:r>
        <w:rPr>
          <w:rFonts w:hint="eastAsia" w:ascii="仿宋_GB2312" w:hAnsi="仿宋_GB2312" w:eastAsia="仿宋_GB2312" w:cs="仿宋_GB2312"/>
          <w:b w:val="0"/>
          <w:bCs w:val="0"/>
          <w:color w:val="auto"/>
          <w:sz w:val="32"/>
          <w:szCs w:val="32"/>
          <w:lang w:val="en-US" w:eastAsia="zh-CN"/>
        </w:rPr>
        <w:t>735</w:t>
      </w:r>
      <w:r>
        <w:rPr>
          <w:rFonts w:hint="eastAsia" w:ascii="仿宋_GB2312" w:hAnsi="仿宋_GB2312" w:eastAsia="仿宋_GB2312" w:cs="仿宋_GB2312"/>
          <w:b w:val="0"/>
          <w:bCs w:val="0"/>
          <w:color w:val="auto"/>
          <w:sz w:val="32"/>
          <w:szCs w:val="32"/>
        </w:rPr>
        <w:t>组</w:t>
      </w:r>
      <w:r>
        <w:rPr>
          <w:rFonts w:hint="eastAsia" w:ascii="仿宋_GB2312" w:hAnsi="仿宋_GB2312" w:eastAsia="仿宋_GB2312" w:cs="仿宋_GB2312"/>
          <w:b w:val="0"/>
          <w:bCs w:val="0"/>
          <w:color w:val="auto"/>
          <w:sz w:val="32"/>
          <w:szCs w:val="32"/>
          <w:lang w:val="en-US" w:eastAsia="zh-CN"/>
        </w:rPr>
        <w:t>1174</w:t>
      </w:r>
      <w:r>
        <w:rPr>
          <w:rFonts w:hint="eastAsia" w:ascii="仿宋_GB2312" w:hAnsi="仿宋_GB2312" w:eastAsia="仿宋_GB2312" w:cs="仿宋_GB2312"/>
          <w:b w:val="0"/>
          <w:bCs w:val="0"/>
          <w:color w:val="auto"/>
          <w:sz w:val="32"/>
          <w:szCs w:val="32"/>
        </w:rPr>
        <w:t>匹，血清检验</w:t>
      </w:r>
      <w:r>
        <w:rPr>
          <w:rFonts w:hint="eastAsia" w:ascii="仿宋_GB2312" w:hAnsi="仿宋_GB2312" w:eastAsia="仿宋_GB2312" w:cs="仿宋_GB2312"/>
          <w:b w:val="0"/>
          <w:bCs w:val="0"/>
          <w:color w:val="auto"/>
          <w:sz w:val="32"/>
          <w:szCs w:val="32"/>
          <w:lang w:val="en-US" w:eastAsia="zh-CN"/>
        </w:rPr>
        <w:t>1019</w:t>
      </w:r>
      <w:r>
        <w:rPr>
          <w:rFonts w:hint="eastAsia" w:ascii="仿宋_GB2312" w:hAnsi="仿宋_GB2312" w:eastAsia="仿宋_GB2312" w:cs="仿宋_GB2312"/>
          <w:b w:val="0"/>
          <w:bCs w:val="0"/>
          <w:color w:val="auto"/>
          <w:sz w:val="32"/>
          <w:szCs w:val="32"/>
        </w:rPr>
        <w:t>份，培养结果均为阴性。</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both"/>
        <w:textAlignment w:val="auto"/>
        <w:outlineLvl w:val="9"/>
        <w:rPr>
          <w:rFonts w:hint="default"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bCs/>
          <w:color w:val="auto"/>
          <w:kern w:val="0"/>
          <w:sz w:val="32"/>
          <w:szCs w:val="32"/>
          <w:lang w:val="en-US" w:eastAsia="zh-CN"/>
          <w14:ligatures w14:val="none"/>
        </w:rPr>
        <w:t>5、结核病防治工作。</w:t>
      </w:r>
      <w:r>
        <w:rPr>
          <w:rFonts w:hint="eastAsia" w:ascii="仿宋_GB2312" w:hAnsi="仿宋_GB2312" w:eastAsia="仿宋_GB2312" w:cs="仿宋_GB2312"/>
          <w:b w:val="0"/>
          <w:bCs w:val="0"/>
          <w:color w:val="auto"/>
          <w:sz w:val="32"/>
          <w:szCs w:val="32"/>
          <w:lang w:val="en-US" w:eastAsia="zh-CN"/>
        </w:rPr>
        <w:t>截止12月底共登记初诊疑似肺结核患者510例，确诊管理肺结核患者134例，其中病原学阳性98例、病原学阴性34例、结核性胸膜炎2例；病原学阳性率为74.24%，完成项目指标数。乡镇卫生院共转诊疑似肺结核患者967例，其中主动到位945例，主动到位率为97.72%,转诊确诊肺结核患者6例，转诊确诊率0.86%。全县65岁老年人及糖尿病患者数为33527例，实际筛查数31832例，完成筛查率为94.94%，转诊ppd强阳性221例，转诊确诊4例，10月份对全县高中新生开展结核病筛查工作，应筛查新生4840名，实际筛查4650名，筛查率为96.07%，PPD强阳性学生54例，现已注射微卡进行预防性治疗。完成乙脑监测8次，监测结果上报区疾控。完成了66名放射医务人员外照射个人剂量监测工作，医务工作人员个人剂量未超标；县医院、县直医疗单位及各乡镇卫生院上报食源性疾病个案病例173例；已完成全县各监测点丰水期、枯水期水质监测工作，合格率为100%；完成抽样学校学生近视等常见病监测及干预工作，对2482名学生进行了近视等常见病监测工作。</w:t>
      </w:r>
    </w:p>
    <w:p>
      <w:pPr>
        <w:pStyle w:val="4"/>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bCs/>
          <w:color w:val="auto"/>
          <w:kern w:val="0"/>
          <w:sz w:val="32"/>
          <w:szCs w:val="32"/>
          <w:lang w:val="en-US" w:eastAsia="zh-CN" w:bidi="ar-SA"/>
          <w14:ligatures w14:val="none"/>
        </w:rPr>
        <w:t>6、慢病管理工作。</w:t>
      </w:r>
      <w:r>
        <w:rPr>
          <w:rFonts w:hint="eastAsia" w:ascii="仿宋_GB2312" w:hAnsi="仿宋_GB2312" w:eastAsia="仿宋_GB2312" w:cs="仿宋_GB2312"/>
          <w:b/>
          <w:bCs/>
          <w:color w:val="auto"/>
          <w:kern w:val="2"/>
          <w:sz w:val="32"/>
          <w:szCs w:val="32"/>
          <w:lang w:val="en-US" w:eastAsia="zh-CN" w:bidi="ar-SA"/>
        </w:rPr>
        <w:t>一是</w:t>
      </w:r>
      <w:r>
        <w:rPr>
          <w:rFonts w:hint="eastAsia" w:ascii="仿宋_GB2312" w:hAnsi="仿宋_GB2312" w:eastAsia="仿宋_GB2312" w:cs="仿宋_GB2312"/>
          <w:b w:val="0"/>
          <w:bCs w:val="0"/>
          <w:color w:val="auto"/>
          <w:spacing w:val="0"/>
          <w:kern w:val="0"/>
          <w:sz w:val="32"/>
          <w:szCs w:val="32"/>
          <w:highlight w:val="none"/>
          <w:lang w:val="en-US" w:eastAsia="zh-CN"/>
        </w:rPr>
        <w:t>在册老年人33251人，自治区测算我县应管理65岁及以上老年人32028人，体检28329人，体检率85.20%，健康管理人数27615人，健康管理率86.22%，达到77%的要求。</w:t>
      </w:r>
      <w:r>
        <w:rPr>
          <w:rFonts w:hint="eastAsia" w:ascii="仿宋_GB2312" w:hAnsi="仿宋_GB2312" w:eastAsia="仿宋_GB2312" w:cs="仿宋_GB2312"/>
          <w:b/>
          <w:bCs/>
          <w:color w:val="auto"/>
          <w:spacing w:val="0"/>
          <w:kern w:val="0"/>
          <w:sz w:val="32"/>
          <w:szCs w:val="32"/>
          <w:highlight w:val="none"/>
          <w:lang w:val="en-US" w:eastAsia="zh-CN"/>
        </w:rPr>
        <w:t>二是</w:t>
      </w:r>
      <w:r>
        <w:rPr>
          <w:rFonts w:hint="eastAsia" w:ascii="仿宋_GB2312" w:hAnsi="仿宋_GB2312" w:eastAsia="仿宋_GB2312" w:cs="仿宋_GB2312"/>
          <w:b w:val="0"/>
          <w:bCs w:val="0"/>
          <w:color w:val="auto"/>
          <w:spacing w:val="0"/>
          <w:kern w:val="0"/>
          <w:sz w:val="32"/>
          <w:szCs w:val="32"/>
          <w:highlight w:val="none"/>
          <w:lang w:val="en-US" w:eastAsia="zh-CN"/>
        </w:rPr>
        <w:t>在册高血压患者27089人，已管理26622人，规范管理24662人，规范管理率率92.64%。</w:t>
      </w:r>
      <w:r>
        <w:rPr>
          <w:rFonts w:hint="eastAsia" w:ascii="楷体" w:hAnsi="楷体" w:eastAsia="楷体" w:cs="楷体"/>
          <w:b/>
          <w:bCs/>
          <w:color w:val="auto"/>
          <w:kern w:val="2"/>
          <w:sz w:val="32"/>
          <w:szCs w:val="32"/>
          <w:lang w:val="en-US" w:eastAsia="zh-CN" w:bidi="ar-SA"/>
        </w:rPr>
        <w:t>三是</w:t>
      </w:r>
      <w:r>
        <w:rPr>
          <w:rFonts w:hint="eastAsia" w:ascii="仿宋_GB2312" w:hAnsi="仿宋_GB2312" w:eastAsia="仿宋_GB2312" w:cs="仿宋_GB2312"/>
          <w:b w:val="0"/>
          <w:bCs w:val="0"/>
          <w:color w:val="auto"/>
          <w:spacing w:val="0"/>
          <w:kern w:val="0"/>
          <w:sz w:val="32"/>
          <w:szCs w:val="32"/>
          <w:highlight w:val="none"/>
          <w:lang w:val="en-US" w:eastAsia="zh-CN"/>
        </w:rPr>
        <w:t>在册糖尿病患者7591人，已管理7431人，规范管理6934人，规范管理率率93.31%。</w:t>
      </w:r>
      <w:r>
        <w:rPr>
          <w:rFonts w:hint="eastAsia" w:ascii="楷体" w:hAnsi="楷体" w:eastAsia="楷体" w:cs="楷体"/>
          <w:b/>
          <w:bCs/>
          <w:color w:val="auto"/>
          <w:kern w:val="2"/>
          <w:sz w:val="32"/>
          <w:szCs w:val="32"/>
          <w:lang w:val="en-US" w:eastAsia="zh-CN" w:bidi="ar-SA"/>
        </w:rPr>
        <w:t>四是</w:t>
      </w:r>
      <w:r>
        <w:rPr>
          <w:rFonts w:hint="eastAsia" w:ascii="仿宋_GB2312" w:hAnsi="仿宋_GB2312" w:eastAsia="仿宋_GB2312" w:cs="仿宋_GB2312"/>
          <w:b w:val="0"/>
          <w:bCs w:val="0"/>
          <w:color w:val="auto"/>
          <w:spacing w:val="0"/>
          <w:kern w:val="0"/>
          <w:sz w:val="32"/>
          <w:szCs w:val="32"/>
          <w:highlight w:val="none"/>
          <w:lang w:val="en-US" w:eastAsia="zh-CN"/>
        </w:rPr>
        <w:t>现管理治疗癫痫患者530例。新诊断入组5例。</w:t>
      </w:r>
      <w:r>
        <w:rPr>
          <w:rFonts w:hint="eastAsia" w:ascii="楷体" w:hAnsi="楷体" w:eastAsia="楷体" w:cs="楷体"/>
          <w:b/>
          <w:bCs/>
          <w:color w:val="auto"/>
          <w:kern w:val="2"/>
          <w:sz w:val="32"/>
          <w:szCs w:val="32"/>
          <w:lang w:val="en-US" w:eastAsia="zh-CN" w:bidi="ar-SA"/>
        </w:rPr>
        <w:t>五是</w:t>
      </w:r>
      <w:r>
        <w:rPr>
          <w:rFonts w:hint="eastAsia" w:ascii="仿宋_GB2312" w:hAnsi="仿宋_GB2312" w:eastAsia="仿宋_GB2312" w:cs="仿宋_GB2312"/>
          <w:b w:val="0"/>
          <w:bCs w:val="0"/>
          <w:color w:val="auto"/>
          <w:spacing w:val="0"/>
          <w:kern w:val="0"/>
          <w:sz w:val="32"/>
          <w:szCs w:val="32"/>
          <w:highlight w:val="none"/>
          <w:lang w:val="en-US" w:eastAsia="zh-CN"/>
        </w:rPr>
        <w:t>截至12月底，在册严重精神障碍患者1631例，报告患病率4.86‰，规范管理率94.79%，规律服药率80.56%。</w:t>
      </w:r>
      <w:r>
        <w:rPr>
          <w:rFonts w:hint="eastAsia" w:ascii="楷体" w:hAnsi="楷体" w:eastAsia="楷体" w:cs="楷体"/>
          <w:b/>
          <w:bCs/>
          <w:color w:val="auto"/>
          <w:kern w:val="2"/>
          <w:sz w:val="32"/>
          <w:szCs w:val="32"/>
          <w:lang w:val="en-US" w:eastAsia="zh-CN" w:bidi="ar-SA"/>
        </w:rPr>
        <w:t>六是</w:t>
      </w:r>
      <w:r>
        <w:rPr>
          <w:rFonts w:hint="eastAsia" w:ascii="仿宋_GB2312" w:hAnsi="仿宋_GB2312" w:eastAsia="仿宋_GB2312" w:cs="仿宋_GB2312"/>
          <w:b w:val="0"/>
          <w:bCs w:val="0"/>
          <w:color w:val="auto"/>
          <w:spacing w:val="0"/>
          <w:kern w:val="0"/>
          <w:sz w:val="32"/>
          <w:szCs w:val="32"/>
          <w:highlight w:val="none"/>
          <w:lang w:val="en-US" w:eastAsia="zh-CN"/>
        </w:rPr>
        <w:t>共报告死亡病例1520例，报告粗死亡率455.75/10万，完成全年报告任务的75.96%。</w:t>
      </w:r>
      <w:r>
        <w:rPr>
          <w:rFonts w:hint="eastAsia" w:ascii="仿宋_GB2312" w:hAnsi="仿宋_GB2312" w:eastAsia="仿宋_GB2312" w:cs="仿宋_GB2312"/>
          <w:b/>
          <w:bCs/>
          <w:color w:val="auto"/>
          <w:spacing w:val="0"/>
          <w:kern w:val="0"/>
          <w:sz w:val="32"/>
          <w:szCs w:val="32"/>
          <w:highlight w:val="none"/>
          <w:lang w:val="en-US" w:eastAsia="zh-CN"/>
        </w:rPr>
        <w:t>七是</w:t>
      </w:r>
      <w:r>
        <w:rPr>
          <w:rFonts w:hint="eastAsia" w:ascii="仿宋_GB2312" w:hAnsi="仿宋_GB2312" w:eastAsia="仿宋_GB2312" w:cs="仿宋_GB2312"/>
          <w:b w:val="0"/>
          <w:bCs w:val="0"/>
          <w:color w:val="auto"/>
          <w:spacing w:val="0"/>
          <w:kern w:val="0"/>
          <w:sz w:val="32"/>
          <w:szCs w:val="32"/>
          <w:highlight w:val="none"/>
          <w:lang w:val="en-US" w:eastAsia="zh-CN"/>
        </w:rPr>
        <w:t>共随访登记肿瘤病例645例，距离全县任务数1763例相差甚远。</w:t>
      </w:r>
    </w:p>
    <w:p>
      <w:pPr>
        <w:pageBreakBefore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bCs/>
          <w:color w:val="auto"/>
          <w:kern w:val="0"/>
          <w:sz w:val="32"/>
          <w:szCs w:val="32"/>
          <w:lang w:val="en-US" w:eastAsia="zh-CN" w:bidi="ar-SA"/>
          <w14:ligatures w14:val="none"/>
        </w:rPr>
        <w:t>7、性性艾滋病防治工作。</w:t>
      </w:r>
      <w:r>
        <w:rPr>
          <w:rFonts w:hint="eastAsia" w:ascii="仿宋_GB2312" w:hAnsi="仿宋_GB2312" w:eastAsia="仿宋_GB2312" w:cs="仿宋_GB2312"/>
          <w:b w:val="0"/>
          <w:bCs w:val="0"/>
          <w:color w:val="auto"/>
          <w:spacing w:val="0"/>
          <w:kern w:val="0"/>
          <w:sz w:val="32"/>
          <w:szCs w:val="32"/>
          <w:highlight w:val="none"/>
          <w:lang w:val="en-US" w:eastAsia="zh-CN" w:bidi="ar-SA"/>
        </w:rPr>
        <w:t>截止目前开展艾滋病病毒抗体筛查54868人次，其中术前检测11756人次，婚前检查（含涉外婚检）检测975人次，孕产妇检6534人次，性病门诊检测189人次，自愿咨询检测234人次，羁押人员检测102人次，娱乐场所检测10人次，阳性配偶17人次，其他就诊检测9130人次，65岁以上老年人检测25921人次，完成率80.9%；2024年新增HIV感染者11人，其中本县检测HIV8人，外市县检测3人，目前治疗艾滋病患者92人，治疗率为96.74％。</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val="0"/>
          <w:bCs w:val="0"/>
          <w:color w:val="auto"/>
          <w:spacing w:val="0"/>
          <w:kern w:val="0"/>
          <w:sz w:val="32"/>
          <w:szCs w:val="32"/>
          <w:highlight w:val="none"/>
          <w:lang w:val="en-US" w:eastAsia="zh-CN" w:bidi="zh-CN"/>
        </w:rPr>
      </w:pPr>
      <w:r>
        <w:rPr>
          <w:rFonts w:hint="eastAsia" w:ascii="仿宋_GB2312" w:hAnsi="仿宋_GB2312" w:eastAsia="仿宋_GB2312" w:cs="仿宋_GB2312"/>
          <w:b/>
          <w:bCs/>
          <w:color w:val="auto"/>
          <w:kern w:val="0"/>
          <w:sz w:val="32"/>
          <w:szCs w:val="32"/>
          <w:lang w:val="en-US" w:eastAsia="zh-CN" w:bidi="ar-SA"/>
          <w14:ligatures w14:val="none"/>
        </w:rPr>
        <w:t>8、卫生监督工作。</w:t>
      </w:r>
      <w:r>
        <w:rPr>
          <w:rFonts w:hint="eastAsia" w:ascii="仿宋_GB2312" w:hAnsi="仿宋_GB2312" w:eastAsia="仿宋_GB2312" w:cs="仿宋_GB2312"/>
          <w:b w:val="0"/>
          <w:bCs w:val="0"/>
          <w:color w:val="auto"/>
          <w:kern w:val="2"/>
          <w:sz w:val="32"/>
          <w:szCs w:val="32"/>
          <w:lang w:val="en-US" w:eastAsia="zh-CN" w:bidi="ar-SA"/>
        </w:rPr>
        <w:t>对全县471家公共场所开展了日常监督检查，卫生许可持证率、从业人员健康证持证率、量化管理率均达到100%；对辖区2家集中式供水单位和11家二次供水单位开展日常监督检查，监督覆盖率100%；已完成辖区291家医疗卫生单位监督检查任务，均未发现违法行为；完成学校日常监督检查98家，覆盖率100%；完成职业卫生日常监督检查39家，覆盖率100%；</w:t>
      </w:r>
      <w:r>
        <w:rPr>
          <w:rFonts w:hint="eastAsia" w:ascii="仿宋_GB2312" w:hAnsi="仿宋_GB2312" w:eastAsia="仿宋_GB2312" w:cs="仿宋_GB2312"/>
          <w:b w:val="0"/>
          <w:bCs w:val="0"/>
          <w:color w:val="auto"/>
          <w:spacing w:val="0"/>
          <w:kern w:val="0"/>
          <w:sz w:val="32"/>
          <w:szCs w:val="32"/>
          <w:highlight w:val="none"/>
          <w:lang w:val="en-US" w:eastAsia="zh-CN" w:bidi="zh-CN"/>
        </w:rPr>
        <w:t>“双随机”监督抽检130家，其中公共场所56家、医疗卫生机构49家、职业病1家、生活饮用2家、学校22家，已完成130家，监督率100%。</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color w:val="auto"/>
          <w:sz w:val="32"/>
          <w:szCs w:val="32"/>
          <w:lang w:val="en-US" w:eastAsia="zh-CN"/>
        </w:rPr>
      </w:pPr>
      <w:r>
        <w:rPr>
          <w:rFonts w:hint="eastAsia" w:ascii="仿宋_GB2312" w:hAnsi="仿宋_GB2312" w:eastAsia="仿宋_GB2312" w:cs="仿宋_GB2312"/>
          <w:b/>
          <w:bCs/>
          <w:color w:val="auto"/>
          <w:kern w:val="0"/>
          <w:sz w:val="32"/>
          <w:szCs w:val="32"/>
          <w:lang w:val="en-US" w:eastAsia="zh-CN" w:bidi="ar-SA"/>
          <w14:ligatures w14:val="none"/>
        </w:rPr>
        <w:t>9、大力开展健康教育宣传。</w:t>
      </w:r>
      <w:r>
        <w:rPr>
          <w:rFonts w:hint="eastAsia" w:ascii="仿宋_GB2312" w:hAnsi="仿宋_GB2312" w:eastAsia="仿宋_GB2312" w:cs="仿宋_GB2312"/>
          <w:color w:val="auto"/>
          <w:kern w:val="0"/>
          <w:sz w:val="32"/>
          <w:szCs w:val="32"/>
        </w:rPr>
        <w:t>充分利用各种宣传媒介和载体，广泛宣传疾病防治知识</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大力开展疾病预防控制知识</w:t>
      </w:r>
      <w:r>
        <w:rPr>
          <w:rFonts w:hint="eastAsia" w:ascii="仿宋_GB2312" w:hAnsi="仿宋_GB2312" w:eastAsia="仿宋_GB2312" w:cs="仿宋_GB2312"/>
          <w:color w:val="auto"/>
          <w:kern w:val="0"/>
          <w:sz w:val="32"/>
          <w:szCs w:val="32"/>
          <w:lang w:eastAsia="zh-CN"/>
        </w:rPr>
        <w:t>“六进”</w:t>
      </w:r>
      <w:r>
        <w:rPr>
          <w:rFonts w:hint="eastAsia" w:ascii="仿宋_GB2312" w:hAnsi="仿宋_GB2312" w:eastAsia="仿宋_GB2312" w:cs="仿宋_GB2312"/>
          <w:color w:val="auto"/>
          <w:kern w:val="0"/>
          <w:sz w:val="32"/>
          <w:szCs w:val="32"/>
        </w:rPr>
        <w:t>活动，充分发挥“小手</w:t>
      </w:r>
      <w:r>
        <w:rPr>
          <w:rFonts w:hint="eastAsia" w:ascii="仿宋_GB2312" w:hAnsi="仿宋_GB2312" w:eastAsia="仿宋_GB2312" w:cs="仿宋_GB2312"/>
          <w:color w:val="auto"/>
          <w:kern w:val="0"/>
          <w:sz w:val="32"/>
          <w:szCs w:val="32"/>
          <w:lang w:eastAsia="zh-CN"/>
        </w:rPr>
        <w:t>拉</w:t>
      </w:r>
      <w:r>
        <w:rPr>
          <w:rFonts w:hint="eastAsia" w:ascii="仿宋_GB2312" w:hAnsi="仿宋_GB2312" w:eastAsia="仿宋_GB2312" w:cs="仿宋_GB2312"/>
          <w:color w:val="auto"/>
          <w:kern w:val="0"/>
          <w:sz w:val="32"/>
          <w:szCs w:val="32"/>
        </w:rPr>
        <w:t>大手”和示范带动作用，提升</w:t>
      </w:r>
      <w:r>
        <w:rPr>
          <w:rFonts w:hint="eastAsia" w:ascii="仿宋_GB2312" w:hAnsi="仿宋_GB2312" w:eastAsia="仿宋_GB2312" w:cs="仿宋_GB2312"/>
          <w:color w:val="auto"/>
          <w:kern w:val="0"/>
          <w:sz w:val="32"/>
          <w:szCs w:val="32"/>
          <w:lang w:eastAsia="zh-CN"/>
        </w:rPr>
        <w:t>辖区居民</w:t>
      </w:r>
      <w:r>
        <w:rPr>
          <w:rFonts w:hint="eastAsia" w:ascii="仿宋_GB2312" w:hAnsi="仿宋_GB2312" w:eastAsia="仿宋_GB2312" w:cs="仿宋_GB2312"/>
          <w:color w:val="auto"/>
          <w:kern w:val="0"/>
          <w:sz w:val="32"/>
          <w:szCs w:val="32"/>
        </w:rPr>
        <w:t>防病意识</w:t>
      </w:r>
      <w:r>
        <w:rPr>
          <w:rFonts w:hint="eastAsia" w:ascii="仿宋_GB2312" w:hAnsi="仿宋_GB2312" w:eastAsia="仿宋_GB2312" w:cs="仿宋_GB2312"/>
          <w:color w:val="auto"/>
          <w:kern w:val="0"/>
          <w:sz w:val="32"/>
          <w:szCs w:val="32"/>
          <w:lang w:eastAsia="zh-CN"/>
        </w:rPr>
        <w:t>。</w:t>
      </w:r>
    </w:p>
    <w:p>
      <w:pPr>
        <w:pStyle w:val="22"/>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autoSpaceDN/>
        <w:bidi w:val="0"/>
        <w:adjustRightInd/>
        <w:snapToGrid w:val="0"/>
        <w:spacing w:line="540" w:lineRule="exact"/>
        <w:ind w:firstLine="643" w:firstLineChars="200"/>
        <w:jc w:val="both"/>
        <w:textAlignment w:val="auto"/>
        <w:rPr>
          <w:rFonts w:hint="eastAsia" w:ascii="楷体_GB2312" w:hAnsi="楷体_GB2312" w:eastAsia="楷体_GB2312" w:cs="楷体_GB2312"/>
          <w:b/>
          <w:bCs/>
          <w:color w:val="000000"/>
          <w:kern w:val="2"/>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14:ligatures w14:val="none"/>
        </w:rPr>
        <w:t>10、结合工作实际，强化业务培训。</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，疾控中心根据工作规划，按照上级要求组织开展了全县基本公共卫生服务大型培训</w:t>
      </w:r>
      <w:r>
        <w:rPr>
          <w:rFonts w:hint="eastAsia" w:ascii="仿宋_GB2312" w:hAnsi="仿宋_GB2312" w:eastAsia="仿宋_GB2312" w:cs="仿宋_GB2312"/>
          <w:color w:val="auto"/>
          <w:sz w:val="32"/>
          <w:szCs w:val="32"/>
          <w:lang w:val="en-US" w:eastAsia="zh-CN"/>
        </w:rPr>
        <w:t>2次，组织</w:t>
      </w:r>
      <w:r>
        <w:rPr>
          <w:rFonts w:hint="eastAsia" w:ascii="仿宋_GB2312" w:hAnsi="仿宋_GB2312" w:eastAsia="仿宋_GB2312" w:cs="仿宋_GB2312"/>
          <w:color w:val="auto"/>
          <w:sz w:val="32"/>
          <w:szCs w:val="32"/>
          <w:lang w:eastAsia="zh-CN"/>
        </w:rPr>
        <w:t>重点传染病防控、</w:t>
      </w:r>
      <w:r>
        <w:rPr>
          <w:rFonts w:hint="eastAsia" w:ascii="仿宋_GB2312" w:hAnsi="仿宋_GB2312" w:eastAsia="仿宋_GB2312" w:cs="仿宋_GB2312"/>
          <w:color w:val="auto"/>
          <w:kern w:val="0"/>
          <w:sz w:val="32"/>
          <w:szCs w:val="32"/>
          <w:highlight w:val="none"/>
        </w:rPr>
        <w:t>免疫规划</w:t>
      </w:r>
      <w:r>
        <w:rPr>
          <w:rFonts w:hint="eastAsia" w:ascii="仿宋_GB2312" w:hAnsi="仿宋_GB2312" w:eastAsia="仿宋_GB2312" w:cs="仿宋_GB2312"/>
          <w:color w:val="auto"/>
          <w:kern w:val="0"/>
          <w:sz w:val="32"/>
          <w:szCs w:val="32"/>
          <w:highlight w:val="none"/>
          <w:lang w:eastAsia="zh-CN"/>
        </w:rPr>
        <w:t>、地方病防治、卫生监督等相关</w:t>
      </w:r>
      <w:r>
        <w:rPr>
          <w:rFonts w:hint="eastAsia" w:ascii="仿宋_GB2312" w:hAnsi="仿宋_GB2312" w:eastAsia="仿宋_GB2312" w:cs="仿宋_GB2312"/>
          <w:color w:val="auto"/>
          <w:kern w:val="0"/>
          <w:sz w:val="32"/>
          <w:szCs w:val="32"/>
          <w:highlight w:val="none"/>
        </w:rPr>
        <w:t>培训</w:t>
      </w:r>
      <w:r>
        <w:rPr>
          <w:rFonts w:hint="eastAsia" w:ascii="仿宋_GB2312" w:hAnsi="仿宋_GB2312" w:eastAsia="仿宋_GB2312" w:cs="仿宋_GB2312"/>
          <w:color w:val="auto"/>
          <w:sz w:val="32"/>
          <w:szCs w:val="32"/>
          <w:lang w:val="en-US" w:eastAsia="zh-CN"/>
        </w:rPr>
        <w:t>5次，培训覆盖县乡村三级公共卫生人员及全县企业、餐饮从业人员1500余人次。圆满完成了第四十八届鼠疫联防会议，成功举办了2024年海原县突发公共卫生事件暨鼠疫防控实战化应急演练；</w:t>
      </w:r>
    </w:p>
    <w:p>
      <w:pPr>
        <w:pStyle w:val="22"/>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autoSpaceDN/>
        <w:bidi w:val="0"/>
        <w:adjustRightInd/>
        <w:snapToGrid w:val="0"/>
        <w:spacing w:line="540" w:lineRule="exact"/>
        <w:ind w:firstLine="643" w:firstLineChars="200"/>
        <w:jc w:val="both"/>
        <w:textAlignment w:val="auto"/>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bCs/>
          <w:color w:val="000000"/>
          <w:kern w:val="2"/>
          <w:sz w:val="32"/>
          <w:szCs w:val="32"/>
          <w:highlight w:val="none"/>
          <w:lang w:val="en-US" w:eastAsia="zh-CN" w:bidi="ar-SA"/>
        </w:rPr>
        <w:t>（二）</w:t>
      </w:r>
      <w:r>
        <w:rPr>
          <w:rFonts w:hint="eastAsia" w:ascii="楷体_GB2312" w:hAnsi="楷体_GB2312" w:eastAsia="楷体_GB2312" w:cs="楷体_GB2312"/>
          <w:b/>
          <w:bCs/>
          <w:color w:val="000000"/>
          <w:kern w:val="2"/>
          <w:sz w:val="32"/>
          <w:szCs w:val="32"/>
          <w:lang w:val="en-US" w:eastAsia="zh-CN" w:bidi="ar-SA"/>
        </w:rPr>
        <w:t>重点项目完成情况</w:t>
      </w:r>
      <w:r>
        <w:rPr>
          <w:rFonts w:hint="eastAsia" w:ascii="楷体_GB2312" w:hAnsi="楷体_GB2312" w:eastAsia="楷体_GB2312" w:cs="楷体_GB2312"/>
          <w:b/>
          <w:bCs/>
          <w:color w:val="000000"/>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海原县疾控中心</w:t>
      </w:r>
      <w:r>
        <w:rPr>
          <w:rFonts w:hint="eastAsia" w:ascii="仿宋_GB2312" w:hAnsi="仿宋_GB2312" w:eastAsia="仿宋_GB2312" w:cs="仿宋_GB2312"/>
          <w:b/>
          <w:bCs/>
          <w:sz w:val="32"/>
          <w:szCs w:val="32"/>
          <w:lang w:val="en-US" w:eastAsia="zh-CN"/>
        </w:rPr>
        <w:t>传染病</w:t>
      </w:r>
      <w:r>
        <w:rPr>
          <w:rFonts w:hint="eastAsia" w:ascii="仿宋_GB2312" w:hAnsi="仿宋_GB2312" w:eastAsia="仿宋_GB2312" w:cs="仿宋_GB2312"/>
          <w:b/>
          <w:bCs/>
          <w:sz w:val="32"/>
          <w:szCs w:val="32"/>
          <w:lang w:eastAsia="zh-CN"/>
        </w:rPr>
        <w:t>监测预警与应急指挥能力提升项目。</w:t>
      </w:r>
      <w:r>
        <w:rPr>
          <w:rFonts w:hint="eastAsia" w:ascii="仿宋_GB2312" w:hAnsi="仿宋_GB2312" w:eastAsia="仿宋_GB2312" w:cs="仿宋_GB2312"/>
          <w:sz w:val="32"/>
          <w:szCs w:val="32"/>
          <w:lang w:val="en-US" w:eastAsia="zh-CN"/>
        </w:rPr>
        <w:t>该项目预算资金26.4万元，主要用于传染病预警系统采购，提升应急指挥能力，截至目前已完成采购并安装到位，</w:t>
      </w:r>
      <w:r>
        <w:rPr>
          <w:rFonts w:hint="eastAsia" w:ascii="仿宋_GB2312" w:hAnsi="仿宋_GB2312" w:eastAsia="仿宋_GB2312" w:cs="仿宋_GB2312"/>
          <w:b w:val="0"/>
          <w:bCs w:val="0"/>
          <w:sz w:val="32"/>
          <w:szCs w:val="32"/>
          <w:lang w:val="en-US" w:eastAsia="zh-CN"/>
        </w:rPr>
        <w:t>现已投入使用，中标金额25.9元，累计完成支付25.9万元</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2.海原县疾控中心卫生监督能力提升采购项目。</w:t>
      </w:r>
      <w:r>
        <w:rPr>
          <w:rFonts w:hint="eastAsia" w:ascii="仿宋_GB2312" w:hAnsi="仿宋_GB2312" w:eastAsia="仿宋_GB2312" w:cs="仿宋_GB2312"/>
          <w:sz w:val="32"/>
          <w:szCs w:val="32"/>
          <w:lang w:val="en-US" w:eastAsia="zh-CN"/>
        </w:rPr>
        <w:t>该项目预算</w:t>
      </w:r>
      <w:r>
        <w:rPr>
          <w:rFonts w:hint="eastAsia" w:ascii="仿宋_GB2312" w:hAnsi="仿宋_GB2312" w:eastAsia="仿宋_GB2312" w:cs="仿宋_GB2312"/>
          <w:b w:val="0"/>
          <w:bCs w:val="0"/>
          <w:sz w:val="32"/>
          <w:szCs w:val="32"/>
          <w:lang w:val="en-US" w:eastAsia="zh-CN"/>
        </w:rPr>
        <w:t>资金45万元，计划采购卫生监督相关设备，提升卫生监督能力。截至目前，已完成两次设备采购及安装培训，现已投入使用，第一次预算17.5万元，中标金额16.1万元；第二次预算26万元，中标金额24.4万元，累计完成支付40.5万元。</w:t>
      </w:r>
    </w:p>
    <w:p>
      <w:pPr>
        <w:keepNext w:val="0"/>
        <w:keepLines w:val="0"/>
        <w:pageBreakBefore w:val="0"/>
        <w:kinsoku/>
        <w:wordWrap/>
        <w:overflowPunct/>
        <w:topLinePunct w:val="0"/>
        <w:bidi w:val="0"/>
        <w:spacing w:line="600" w:lineRule="exact"/>
        <w:ind w:left="0" w:leftChars="0"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问题及建议</w:t>
      </w:r>
    </w:p>
    <w:p>
      <w:pPr>
        <w:keepNext w:val="0"/>
        <w:keepLines w:val="0"/>
        <w:pageBreakBefore w:val="0"/>
        <w:kinsoku/>
        <w:wordWrap/>
        <w:overflowPunct/>
        <w:topLinePunct w:val="0"/>
        <w:bidi w:val="0"/>
        <w:spacing w:line="600" w:lineRule="exact"/>
        <w:ind w:left="0" w:leftChars="0"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(一)存在的问题。</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lang w:eastAsia="zh-CN"/>
        </w:rPr>
        <w:t>中心办公用房面积</w:t>
      </w:r>
      <w:r>
        <w:rPr>
          <w:rFonts w:hint="eastAsia" w:ascii="仿宋_GB2312" w:hAnsi="仿宋_GB2312" w:eastAsia="仿宋_GB2312" w:cs="仿宋_GB2312"/>
          <w:color w:val="auto"/>
          <w:kern w:val="0"/>
          <w:sz w:val="32"/>
          <w:szCs w:val="32"/>
        </w:rPr>
        <w:t>严重</w:t>
      </w:r>
      <w:r>
        <w:rPr>
          <w:rFonts w:hint="eastAsia" w:ascii="仿宋_GB2312" w:hAnsi="仿宋_GB2312" w:eastAsia="仿宋_GB2312" w:cs="仿宋_GB2312"/>
          <w:color w:val="auto"/>
          <w:kern w:val="0"/>
          <w:sz w:val="32"/>
          <w:szCs w:val="32"/>
          <w:lang w:eastAsia="zh-CN"/>
        </w:rPr>
        <w:t>不足，</w:t>
      </w:r>
      <w:r>
        <w:rPr>
          <w:rFonts w:hint="eastAsia" w:ascii="仿宋_GB2312" w:hAnsi="仿宋_GB2312" w:eastAsia="仿宋_GB2312" w:cs="仿宋_GB2312"/>
          <w:color w:val="auto"/>
          <w:kern w:val="0"/>
          <w:sz w:val="32"/>
          <w:szCs w:val="32"/>
        </w:rPr>
        <w:t>实验室</w:t>
      </w:r>
      <w:r>
        <w:rPr>
          <w:rFonts w:hint="eastAsia" w:ascii="仿宋_GB2312" w:hAnsi="仿宋_GB2312" w:eastAsia="仿宋_GB2312" w:cs="仿宋_GB2312"/>
          <w:color w:val="auto"/>
          <w:kern w:val="0"/>
          <w:sz w:val="32"/>
          <w:szCs w:val="32"/>
          <w:lang w:eastAsia="zh-CN"/>
        </w:rPr>
        <w:t>设</w:t>
      </w:r>
      <w:r>
        <w:rPr>
          <w:rFonts w:hint="eastAsia" w:ascii="仿宋_GB2312" w:hAnsi="仿宋_GB2312" w:eastAsia="仿宋_GB2312" w:cs="仿宋_GB2312"/>
          <w:color w:val="auto"/>
          <w:kern w:val="0"/>
          <w:sz w:val="32"/>
          <w:szCs w:val="32"/>
        </w:rPr>
        <w:t>在</w:t>
      </w:r>
      <w:r>
        <w:rPr>
          <w:rFonts w:hint="eastAsia" w:ascii="仿宋_GB2312" w:hAnsi="仿宋_GB2312" w:eastAsia="仿宋_GB2312" w:cs="仿宋_GB2312"/>
          <w:color w:val="auto"/>
          <w:kern w:val="0"/>
          <w:sz w:val="32"/>
          <w:szCs w:val="32"/>
          <w:lang w:eastAsia="zh-CN"/>
        </w:rPr>
        <w:t>办公楼</w:t>
      </w:r>
      <w:r>
        <w:rPr>
          <w:rFonts w:hint="eastAsia" w:ascii="仿宋_GB2312" w:hAnsi="仿宋_GB2312" w:eastAsia="仿宋_GB2312" w:cs="仿宋_GB2312"/>
          <w:color w:val="auto"/>
          <w:kern w:val="0"/>
          <w:sz w:val="32"/>
          <w:szCs w:val="32"/>
        </w:rPr>
        <w:t>内</w:t>
      </w:r>
      <w:r>
        <w:rPr>
          <w:rFonts w:hint="eastAsia" w:ascii="仿宋_GB2312" w:hAnsi="仿宋_GB2312" w:eastAsia="仿宋_GB2312" w:cs="仿宋_GB2312"/>
          <w:color w:val="auto"/>
          <w:kern w:val="0"/>
          <w:sz w:val="32"/>
          <w:szCs w:val="32"/>
          <w:lang w:eastAsia="zh-CN"/>
        </w:rPr>
        <w:t>，办公区和</w:t>
      </w:r>
      <w:r>
        <w:rPr>
          <w:rFonts w:hint="eastAsia" w:ascii="仿宋_GB2312" w:hAnsi="仿宋_GB2312" w:eastAsia="仿宋_GB2312" w:cs="仿宋_GB2312"/>
          <w:color w:val="auto"/>
          <w:kern w:val="0"/>
          <w:sz w:val="32"/>
          <w:szCs w:val="32"/>
        </w:rPr>
        <w:t>实验室布局、功能不合理，不符合《微生物和生物医学实验室生物安全通用准则》和《实验室生物安全通用要求》标准规定，存在实验室感染</w:t>
      </w:r>
      <w:r>
        <w:rPr>
          <w:rFonts w:hint="eastAsia" w:ascii="仿宋_GB2312" w:hAnsi="仿宋_GB2312" w:eastAsia="仿宋_GB2312" w:cs="仿宋_GB2312"/>
          <w:color w:val="auto"/>
          <w:kern w:val="0"/>
          <w:sz w:val="32"/>
          <w:szCs w:val="32"/>
          <w:lang w:eastAsia="zh-CN"/>
        </w:rPr>
        <w:t>安全隐患。中心实验室设备不达标，水质监测和职业病检测项目增加，原有的实验室设备不能满足检测需求。</w:t>
      </w:r>
    </w:p>
    <w:p>
      <w:pPr>
        <w:keepNext w:val="0"/>
        <w:keepLines w:val="0"/>
        <w:pageBreakBefore w:val="0"/>
        <w:kinsoku/>
        <w:wordWrap/>
        <w:overflowPunct/>
        <w:topLinePunct w:val="0"/>
        <w:bidi w:val="0"/>
        <w:spacing w:line="600" w:lineRule="exact"/>
        <w:ind w:left="0" w:leftChars="0"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(二)建议。</w:t>
      </w:r>
    </w:p>
    <w:p>
      <w:pPr>
        <w:pStyle w:val="22"/>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bidi w:val="0"/>
        <w:adjustRightInd/>
        <w:snapToGrid w:val="0"/>
        <w:spacing w:line="580" w:lineRule="exact"/>
        <w:ind w:leftChars="0" w:firstLine="640" w:firstLineChars="200"/>
        <w:jc w:val="both"/>
        <w:textAlignment w:val="auto"/>
        <w:rPr>
          <w:rFonts w:hint="eastAsia" w:ascii="仿宋_GB2312" w:hAnsi="仿宋_GB2312" w:eastAsia="仿宋_GB2312" w:cs="仿宋_GB2312"/>
          <w:b/>
          <w:bCs/>
          <w:color w:val="auto"/>
          <w:kern w:val="0"/>
          <w:sz w:val="32"/>
          <w:szCs w:val="32"/>
          <w:lang w:eastAsia="zh-CN"/>
        </w:rPr>
      </w:pPr>
      <w:r>
        <w:rPr>
          <w:rFonts w:hint="eastAsia" w:ascii="仿宋_GB2312" w:hAnsi="仿宋_GB2312" w:eastAsia="仿宋_GB2312" w:cs="仿宋_GB2312"/>
          <w:b w:val="0"/>
          <w:bCs w:val="0"/>
          <w:color w:val="auto"/>
          <w:sz w:val="32"/>
          <w:szCs w:val="32"/>
          <w:lang w:val="en-US" w:eastAsia="zh-CN"/>
        </w:rPr>
        <w:t>提升疾控能力建设，争取疾控中心迁建。</w:t>
      </w:r>
      <w:r>
        <w:rPr>
          <w:rFonts w:hint="eastAsia" w:ascii="仿宋_GB2312" w:hAnsi="仿宋_GB2312" w:eastAsia="仿宋_GB2312" w:cs="仿宋_GB2312"/>
          <w:color w:val="auto"/>
          <w:kern w:val="0"/>
          <w:sz w:val="32"/>
          <w:szCs w:val="32"/>
        </w:rPr>
        <w:t>按照《疾病预防控制中心建设标准》(建标2009)257号)要求</w:t>
      </w:r>
      <w:r>
        <w:rPr>
          <w:rFonts w:hint="eastAsia" w:ascii="仿宋_GB2312" w:hAnsi="仿宋_GB2312" w:eastAsia="仿宋_GB2312" w:cs="仿宋_GB2312"/>
          <w:color w:val="auto"/>
          <w:kern w:val="0"/>
          <w:sz w:val="32"/>
          <w:szCs w:val="32"/>
          <w:lang w:eastAsia="zh-CN"/>
        </w:rPr>
        <w:t>，中心办公用房面积</w:t>
      </w:r>
      <w:r>
        <w:rPr>
          <w:rFonts w:hint="eastAsia" w:ascii="仿宋_GB2312" w:hAnsi="仿宋_GB2312" w:eastAsia="仿宋_GB2312" w:cs="仿宋_GB2312"/>
          <w:color w:val="auto"/>
          <w:kern w:val="0"/>
          <w:sz w:val="32"/>
          <w:szCs w:val="32"/>
        </w:rPr>
        <w:t>严重</w:t>
      </w:r>
      <w:r>
        <w:rPr>
          <w:rFonts w:hint="eastAsia" w:ascii="仿宋_GB2312" w:hAnsi="仿宋_GB2312" w:eastAsia="仿宋_GB2312" w:cs="仿宋_GB2312"/>
          <w:color w:val="auto"/>
          <w:kern w:val="0"/>
          <w:sz w:val="32"/>
          <w:szCs w:val="32"/>
          <w:lang w:eastAsia="zh-CN"/>
        </w:rPr>
        <w:t>不足，</w:t>
      </w:r>
      <w:r>
        <w:rPr>
          <w:rFonts w:hint="eastAsia" w:ascii="仿宋_GB2312" w:hAnsi="仿宋_GB2312" w:eastAsia="仿宋_GB2312" w:cs="仿宋_GB2312"/>
          <w:color w:val="auto"/>
          <w:kern w:val="0"/>
          <w:sz w:val="32"/>
          <w:szCs w:val="32"/>
        </w:rPr>
        <w:t>实验室</w:t>
      </w:r>
      <w:r>
        <w:rPr>
          <w:rFonts w:hint="eastAsia" w:ascii="仿宋_GB2312" w:hAnsi="仿宋_GB2312" w:eastAsia="仿宋_GB2312" w:cs="仿宋_GB2312"/>
          <w:color w:val="auto"/>
          <w:kern w:val="0"/>
          <w:sz w:val="32"/>
          <w:szCs w:val="32"/>
          <w:lang w:eastAsia="zh-CN"/>
        </w:rPr>
        <w:t>设</w:t>
      </w:r>
      <w:r>
        <w:rPr>
          <w:rFonts w:hint="eastAsia" w:ascii="仿宋_GB2312" w:hAnsi="仿宋_GB2312" w:eastAsia="仿宋_GB2312" w:cs="仿宋_GB2312"/>
          <w:color w:val="auto"/>
          <w:kern w:val="0"/>
          <w:sz w:val="32"/>
          <w:szCs w:val="32"/>
        </w:rPr>
        <w:t>在</w:t>
      </w:r>
      <w:r>
        <w:rPr>
          <w:rFonts w:hint="eastAsia" w:ascii="仿宋_GB2312" w:hAnsi="仿宋_GB2312" w:eastAsia="仿宋_GB2312" w:cs="仿宋_GB2312"/>
          <w:color w:val="auto"/>
          <w:kern w:val="0"/>
          <w:sz w:val="32"/>
          <w:szCs w:val="32"/>
          <w:lang w:eastAsia="zh-CN"/>
        </w:rPr>
        <w:t>办公楼</w:t>
      </w:r>
      <w:r>
        <w:rPr>
          <w:rFonts w:hint="eastAsia" w:ascii="仿宋_GB2312" w:hAnsi="仿宋_GB2312" w:eastAsia="仿宋_GB2312" w:cs="仿宋_GB2312"/>
          <w:color w:val="auto"/>
          <w:kern w:val="0"/>
          <w:sz w:val="32"/>
          <w:szCs w:val="32"/>
        </w:rPr>
        <w:t>内</w:t>
      </w:r>
      <w:r>
        <w:rPr>
          <w:rFonts w:hint="eastAsia" w:ascii="仿宋_GB2312" w:hAnsi="仿宋_GB2312" w:eastAsia="仿宋_GB2312" w:cs="仿宋_GB2312"/>
          <w:color w:val="auto"/>
          <w:kern w:val="0"/>
          <w:sz w:val="32"/>
          <w:szCs w:val="32"/>
          <w:lang w:eastAsia="zh-CN"/>
        </w:rPr>
        <w:t>，办公区和</w:t>
      </w:r>
      <w:r>
        <w:rPr>
          <w:rFonts w:hint="eastAsia" w:ascii="仿宋_GB2312" w:hAnsi="仿宋_GB2312" w:eastAsia="仿宋_GB2312" w:cs="仿宋_GB2312"/>
          <w:color w:val="auto"/>
          <w:kern w:val="0"/>
          <w:sz w:val="32"/>
          <w:szCs w:val="32"/>
        </w:rPr>
        <w:t>实验室布局、功能不合理，不符合《微生物和生物医学实验室生物安全通用准则》和《实验室生物安全通用要求》标准规定，</w:t>
      </w:r>
      <w:r>
        <w:rPr>
          <w:rFonts w:hint="eastAsia" w:ascii="仿宋_GB2312" w:hAnsi="仿宋_GB2312" w:eastAsia="仿宋_GB2312" w:cs="仿宋_GB2312"/>
          <w:color w:val="auto"/>
          <w:kern w:val="0"/>
          <w:sz w:val="32"/>
          <w:szCs w:val="32"/>
          <w:lang w:eastAsia="zh-CN"/>
        </w:rPr>
        <w:t>建议迁建，以满足当前疾控体系建设</w:t>
      </w:r>
      <w:r>
        <w:rPr>
          <w:rFonts w:hint="eastAsia" w:ascii="仿宋_GB2312" w:hAnsi="仿宋_GB2312" w:eastAsia="仿宋_GB2312" w:cs="仿宋_GB2312"/>
          <w:color w:val="auto"/>
          <w:kern w:val="0"/>
          <w:sz w:val="32"/>
          <w:szCs w:val="32"/>
        </w:rPr>
        <w:t>规定要求</w:t>
      </w:r>
      <w:r>
        <w:rPr>
          <w:rFonts w:hint="eastAsia" w:ascii="仿宋_GB2312" w:hAnsi="仿宋_GB2312" w:eastAsia="仿宋_GB2312" w:cs="仿宋_GB2312"/>
          <w:color w:val="auto"/>
          <w:kern w:val="0"/>
          <w:sz w:val="32"/>
          <w:szCs w:val="32"/>
          <w:lang w:eastAsia="zh-CN"/>
        </w:rPr>
        <w:t>。根据当前工作需要购置相关实验设备，确保相关检验工作正常开展。</w:t>
      </w:r>
    </w:p>
    <w:p>
      <w:pPr>
        <w:spacing w:line="560" w:lineRule="exact"/>
        <w:ind w:firstLine="4320" w:firstLineChars="1350"/>
        <w:textAlignment w:val="baseline"/>
        <w:rPr>
          <w:rFonts w:hint="eastAsia" w:ascii="仿宋" w:hAnsi="仿宋" w:eastAsia="仿宋" w:cs="仿宋"/>
          <w:color w:val="auto"/>
          <w:kern w:val="0"/>
          <w:sz w:val="32"/>
          <w:szCs w:val="32"/>
        </w:rPr>
      </w:pPr>
    </w:p>
    <w:p>
      <w:pPr>
        <w:spacing w:line="560" w:lineRule="exact"/>
        <w:ind w:firstLine="4320" w:firstLineChars="1350"/>
        <w:textAlignment w:val="baseline"/>
        <w:rPr>
          <w:rFonts w:hint="eastAsia" w:ascii="仿宋" w:hAnsi="仿宋" w:eastAsia="仿宋" w:cs="仿宋"/>
          <w:color w:val="auto"/>
          <w:kern w:val="0"/>
          <w:sz w:val="32"/>
          <w:szCs w:val="32"/>
        </w:rPr>
      </w:pPr>
    </w:p>
    <w:p>
      <w:pPr>
        <w:rPr>
          <w:rFonts w:hint="eastAsia"/>
          <w:color w:val="auto"/>
          <w:sz w:val="28"/>
        </w:rPr>
      </w:pPr>
      <w:bookmarkStart w:id="0" w:name="_GoBack"/>
      <w:bookmarkEnd w:id="0"/>
    </w:p>
    <w:sectPr>
      <w:pgSz w:w="11906" w:h="16838"/>
      <w:pgMar w:top="2154"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汉仪细圆B5">
    <w:altName w:val="Segoe Print"/>
    <w:panose1 w:val="00000000000000000000"/>
    <w:charset w:val="00"/>
    <w:family w:val="auto"/>
    <w:pitch w:val="default"/>
    <w:sig w:usb0="00000000" w:usb1="00000000" w:usb2="00000000" w:usb3="00000000" w:csb0="00000000" w:csb1="00000000"/>
  </w:font>
  <w:font w:name="汉仪瑞意宋简">
    <w:altName w:val="宋体"/>
    <w:panose1 w:val="00000000000000000000"/>
    <w:charset w:val="00"/>
    <w:family w:val="auto"/>
    <w:pitch w:val="default"/>
    <w:sig w:usb0="00000000" w:usb1="00000000" w:usb2="00000000" w:usb3="00000000" w:csb0="00000000"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方正仿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0MDdmYzE0NDAyZmYxMDM1NDVjMmZhMzJiZjkwMzcifQ=="/>
  </w:docVars>
  <w:rsids>
    <w:rsidRoot w:val="00000000"/>
    <w:rsid w:val="004D3024"/>
    <w:rsid w:val="01CC5EE4"/>
    <w:rsid w:val="02C259FA"/>
    <w:rsid w:val="02DC4A9B"/>
    <w:rsid w:val="03BF1444"/>
    <w:rsid w:val="055C49B9"/>
    <w:rsid w:val="09032A08"/>
    <w:rsid w:val="0C324B95"/>
    <w:rsid w:val="0C725B87"/>
    <w:rsid w:val="0D7B1AC5"/>
    <w:rsid w:val="0FA865E5"/>
    <w:rsid w:val="12174F59"/>
    <w:rsid w:val="1294590A"/>
    <w:rsid w:val="14AA4443"/>
    <w:rsid w:val="16CC5380"/>
    <w:rsid w:val="170D11CC"/>
    <w:rsid w:val="17EA0A1A"/>
    <w:rsid w:val="1A1022F8"/>
    <w:rsid w:val="1E7B76FB"/>
    <w:rsid w:val="1EBE2EA2"/>
    <w:rsid w:val="1F6C4DC1"/>
    <w:rsid w:val="21D32861"/>
    <w:rsid w:val="23CD2C3A"/>
    <w:rsid w:val="24396F67"/>
    <w:rsid w:val="25412ACD"/>
    <w:rsid w:val="2648072A"/>
    <w:rsid w:val="268901AF"/>
    <w:rsid w:val="27401123"/>
    <w:rsid w:val="2A222295"/>
    <w:rsid w:val="2BD456D4"/>
    <w:rsid w:val="2D2251E8"/>
    <w:rsid w:val="2DBA338E"/>
    <w:rsid w:val="2EB82C17"/>
    <w:rsid w:val="2F5416FF"/>
    <w:rsid w:val="314D5243"/>
    <w:rsid w:val="318A08EA"/>
    <w:rsid w:val="32260B89"/>
    <w:rsid w:val="338B351A"/>
    <w:rsid w:val="350B0F27"/>
    <w:rsid w:val="350C6FAF"/>
    <w:rsid w:val="35BD29E8"/>
    <w:rsid w:val="36214A63"/>
    <w:rsid w:val="397733A0"/>
    <w:rsid w:val="3FCB3B9D"/>
    <w:rsid w:val="40EA67F4"/>
    <w:rsid w:val="412A7229"/>
    <w:rsid w:val="42B91816"/>
    <w:rsid w:val="44C1358D"/>
    <w:rsid w:val="4720389A"/>
    <w:rsid w:val="4744073D"/>
    <w:rsid w:val="49F54E0D"/>
    <w:rsid w:val="4BC73FFA"/>
    <w:rsid w:val="4D9B5109"/>
    <w:rsid w:val="518169FD"/>
    <w:rsid w:val="523E1F57"/>
    <w:rsid w:val="559A234D"/>
    <w:rsid w:val="55AF283A"/>
    <w:rsid w:val="56950F54"/>
    <w:rsid w:val="58E01D3C"/>
    <w:rsid w:val="591A1EE3"/>
    <w:rsid w:val="593B10F5"/>
    <w:rsid w:val="596B2C39"/>
    <w:rsid w:val="5C2515ED"/>
    <w:rsid w:val="5F523902"/>
    <w:rsid w:val="5F9F5892"/>
    <w:rsid w:val="5FEB4A17"/>
    <w:rsid w:val="63060C76"/>
    <w:rsid w:val="675F267A"/>
    <w:rsid w:val="696A2EC3"/>
    <w:rsid w:val="696F07A9"/>
    <w:rsid w:val="6A611B2C"/>
    <w:rsid w:val="6BF60CBA"/>
    <w:rsid w:val="6CA871ED"/>
    <w:rsid w:val="70FC7DBC"/>
    <w:rsid w:val="735669F3"/>
    <w:rsid w:val="759E1500"/>
    <w:rsid w:val="76000486"/>
    <w:rsid w:val="775174E1"/>
    <w:rsid w:val="77B358A8"/>
    <w:rsid w:val="78476F3D"/>
    <w:rsid w:val="788A78FD"/>
    <w:rsid w:val="7BBD0AA3"/>
    <w:rsid w:val="7BFE2F5F"/>
    <w:rsid w:val="7C395F8A"/>
    <w:rsid w:val="7C7B352C"/>
    <w:rsid w:val="7DCE51E9"/>
    <w:rsid w:val="7DFE2136"/>
    <w:rsid w:val="7E374B3D"/>
    <w:rsid w:val="7F452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360" w:lineRule="auto"/>
      <w:outlineLvl w:val="1"/>
    </w:pPr>
    <w:rPr>
      <w:rFonts w:ascii="Arial" w:hAnsi="Arial"/>
      <w:b/>
      <w:bCs/>
      <w:sz w:val="28"/>
      <w:szCs w:val="32"/>
    </w:rPr>
  </w:style>
  <w:style w:type="paragraph" w:styleId="3">
    <w:name w:val="heading 3"/>
    <w:basedOn w:val="1"/>
    <w:next w:val="1"/>
    <w:unhideWhenUsed/>
    <w:qFormat/>
    <w:uiPriority w:val="0"/>
    <w:pPr>
      <w:keepNext/>
      <w:keepLines/>
      <w:spacing w:before="260" w:after="260" w:line="416" w:lineRule="auto"/>
      <w:outlineLvl w:val="2"/>
    </w:pPr>
    <w:rPr>
      <w:rFonts w:ascii="Tahoma" w:hAnsi="Tahoma" w:eastAsia="宋体" w:cs="Times New Roman"/>
      <w:b/>
      <w:bCs/>
      <w:szCs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Indent"/>
    <w:basedOn w:val="1"/>
    <w:unhideWhenUsed/>
    <w:qFormat/>
    <w:uiPriority w:val="0"/>
    <w:pPr>
      <w:widowControl/>
      <w:spacing w:before="100" w:beforeAutospacing="1" w:after="100" w:afterAutospacing="1"/>
      <w:jc w:val="left"/>
    </w:pPr>
    <w:rPr>
      <w:rFonts w:ascii="宋体" w:hAnsi="宋体" w:cs="宋体"/>
      <w:kern w:val="0"/>
      <w:sz w:val="24"/>
    </w:rPr>
  </w:style>
  <w:style w:type="paragraph" w:styleId="6">
    <w:name w:val="footer"/>
    <w:basedOn w:val="1"/>
    <w:next w:val="7"/>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font101"/>
    <w:basedOn w:val="9"/>
    <w:qFormat/>
    <w:uiPriority w:val="0"/>
    <w:rPr>
      <w:rFonts w:hint="eastAsia" w:ascii="仿宋" w:hAnsi="仿宋" w:eastAsia="仿宋" w:cs="仿宋"/>
      <w:color w:val="000000"/>
      <w:sz w:val="20"/>
      <w:szCs w:val="20"/>
      <w:u w:val="none"/>
    </w:rPr>
  </w:style>
  <w:style w:type="character" w:customStyle="1" w:styleId="12">
    <w:name w:val="font11"/>
    <w:basedOn w:val="9"/>
    <w:qFormat/>
    <w:uiPriority w:val="0"/>
    <w:rPr>
      <w:rFonts w:hint="eastAsia" w:ascii="仿宋" w:hAnsi="仿宋" w:eastAsia="仿宋" w:cs="仿宋"/>
      <w:color w:val="000000"/>
      <w:sz w:val="20"/>
      <w:szCs w:val="20"/>
      <w:u w:val="none"/>
    </w:rPr>
  </w:style>
  <w:style w:type="character" w:customStyle="1" w:styleId="13">
    <w:name w:val="font31"/>
    <w:basedOn w:val="9"/>
    <w:qFormat/>
    <w:uiPriority w:val="0"/>
    <w:rPr>
      <w:rFonts w:ascii="汉仪细圆B5" w:hAnsi="汉仪细圆B5" w:eastAsia="汉仪细圆B5" w:cs="汉仪细圆B5"/>
      <w:color w:val="000000"/>
      <w:sz w:val="20"/>
      <w:szCs w:val="20"/>
      <w:u w:val="none"/>
    </w:rPr>
  </w:style>
  <w:style w:type="character" w:customStyle="1" w:styleId="14">
    <w:name w:val="font21"/>
    <w:basedOn w:val="9"/>
    <w:qFormat/>
    <w:uiPriority w:val="0"/>
    <w:rPr>
      <w:rFonts w:hint="eastAsia" w:ascii="宋体" w:hAnsi="宋体" w:eastAsia="宋体" w:cs="宋体"/>
      <w:color w:val="000000"/>
      <w:sz w:val="20"/>
      <w:szCs w:val="20"/>
      <w:u w:val="none"/>
    </w:rPr>
  </w:style>
  <w:style w:type="character" w:customStyle="1" w:styleId="15">
    <w:name w:val="font121"/>
    <w:basedOn w:val="9"/>
    <w:qFormat/>
    <w:uiPriority w:val="0"/>
    <w:rPr>
      <w:rFonts w:ascii="汉仪瑞意宋简" w:hAnsi="汉仪瑞意宋简" w:eastAsia="汉仪瑞意宋简" w:cs="汉仪瑞意宋简"/>
      <w:color w:val="000000"/>
      <w:sz w:val="20"/>
      <w:szCs w:val="20"/>
      <w:u w:val="none"/>
    </w:rPr>
  </w:style>
  <w:style w:type="character" w:customStyle="1" w:styleId="16">
    <w:name w:val="font131"/>
    <w:basedOn w:val="9"/>
    <w:qFormat/>
    <w:uiPriority w:val="0"/>
    <w:rPr>
      <w:rFonts w:hint="eastAsia" w:ascii="宋体" w:hAnsi="宋体" w:eastAsia="宋体" w:cs="宋体"/>
      <w:color w:val="000000"/>
      <w:sz w:val="20"/>
      <w:szCs w:val="20"/>
      <w:u w:val="none"/>
    </w:rPr>
  </w:style>
  <w:style w:type="character" w:customStyle="1" w:styleId="17">
    <w:name w:val="font81"/>
    <w:basedOn w:val="9"/>
    <w:qFormat/>
    <w:uiPriority w:val="0"/>
    <w:rPr>
      <w:rFonts w:hint="eastAsia" w:ascii="宋体" w:hAnsi="宋体" w:eastAsia="宋体" w:cs="宋体"/>
      <w:color w:val="000000"/>
      <w:sz w:val="20"/>
      <w:szCs w:val="20"/>
      <w:u w:val="none"/>
    </w:rPr>
  </w:style>
  <w:style w:type="character" w:customStyle="1" w:styleId="18">
    <w:name w:val="font91"/>
    <w:basedOn w:val="9"/>
    <w:qFormat/>
    <w:uiPriority w:val="0"/>
    <w:rPr>
      <w:rFonts w:hint="default" w:ascii="Arial" w:hAnsi="Arial" w:cs="Arial"/>
      <w:color w:val="FF0000"/>
      <w:sz w:val="20"/>
      <w:szCs w:val="20"/>
      <w:u w:val="none"/>
    </w:rPr>
  </w:style>
  <w:style w:type="character" w:customStyle="1" w:styleId="19">
    <w:name w:val="font71"/>
    <w:basedOn w:val="9"/>
    <w:qFormat/>
    <w:uiPriority w:val="0"/>
    <w:rPr>
      <w:rFonts w:ascii="汉仪细圆B5" w:hAnsi="汉仪细圆B5" w:eastAsia="汉仪细圆B5" w:cs="汉仪细圆B5"/>
      <w:color w:val="000000"/>
      <w:sz w:val="20"/>
      <w:szCs w:val="20"/>
      <w:u w:val="none"/>
    </w:rPr>
  </w:style>
  <w:style w:type="character" w:customStyle="1" w:styleId="20">
    <w:name w:val="font112"/>
    <w:basedOn w:val="9"/>
    <w:qFormat/>
    <w:uiPriority w:val="0"/>
    <w:rPr>
      <w:rFonts w:hint="default" w:ascii="Arial" w:hAnsi="Arial" w:cs="Arial"/>
      <w:color w:val="FF0000"/>
      <w:sz w:val="20"/>
      <w:szCs w:val="20"/>
      <w:u w:val="none"/>
    </w:rPr>
  </w:style>
  <w:style w:type="character" w:customStyle="1" w:styleId="21">
    <w:name w:val="font01"/>
    <w:basedOn w:val="9"/>
    <w:qFormat/>
    <w:uiPriority w:val="0"/>
    <w:rPr>
      <w:rFonts w:hint="eastAsia" w:ascii="宋体" w:hAnsi="宋体" w:eastAsia="宋体" w:cs="宋体"/>
      <w:color w:val="000000"/>
      <w:sz w:val="24"/>
      <w:szCs w:val="24"/>
      <w:u w:val="none"/>
    </w:rPr>
  </w:style>
  <w:style w:type="paragraph" w:customStyle="1"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7799</Words>
  <Characters>8832</Characters>
  <Lines>0</Lines>
  <Paragraphs>0</Paragraphs>
  <TotalTime>3</TotalTime>
  <ScaleCrop>false</ScaleCrop>
  <LinksUpToDate>false</LinksUpToDate>
  <CharactersWithSpaces>8884</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lenovo</cp:lastModifiedBy>
  <dcterms:modified xsi:type="dcterms:W3CDTF">2025-09-13T00:31:47Z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8C122E3AECD941D8B0FE8CA254D857A0_13</vt:lpwstr>
  </property>
  <property fmtid="{D5CDD505-2E9C-101B-9397-08002B2CF9AE}" pid="4" name="commondata">
    <vt:lpwstr>eyJoZGlkIjoiMWViN2JlZGY5Y2E2N2RkMmQ2OTMwYzY2MWQwYzYwNTEifQ==</vt:lpwstr>
  </property>
</Properties>
</file>