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2020年度法治政府建设工作报告</w:t>
      </w:r>
    </w:p>
    <w:bookmarkEnd w:id="0"/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海原县人民政府：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2020年，在县委、县政府的领导下，我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严格依法履行法定职责，规范行政行为，进一步推进法治政府、规范化服务型政府建设，取得了较好的成果，现将我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2020年法治政府建设情况报告如下: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/>
        </w:rPr>
        <w:t>主要做法和成效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　　2020年，我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深入学习习近平新时代中国特色社会主义思想和党的十九大精神，坚持以习近平新时代中国特色社会主义思想为指导，自觉做到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两个维护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，不断增强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四个意识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，纵深推进法治、德治、自治三治融合，扎实推进法治政府建设，努力建设法治政府示范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　　</w:t>
      </w:r>
      <w:r>
        <w:rPr>
          <w:rFonts w:hint="eastAsia" w:ascii="楷体" w:hAnsi="楷体" w:eastAsia="楷体" w:cs="楷体"/>
          <w:b/>
          <w:bCs w:val="0"/>
          <w:color w:val="auto"/>
          <w:sz w:val="32"/>
          <w:szCs w:val="32"/>
        </w:rPr>
        <w:t>(一)加强组织领导，健全组织机构。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乡党委、政府高度重视法治政府建设工作，成立以乡党委书记任组长，政府乡长任副组长，其他各副职领导、各站所负责人为成员的法治政府领导小组，领导小组下设办公室，由乡党委副书记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李进军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同志兼任办公室主任，具体统筹法治政府日常工作，定期召开法治政府工作会议四次，组织乡村干部认真学习习近平总书记关于法治政府建设的重要讲话，同时制定印发了《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李俊乡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法治政府2020年工作要点》细化分工，明确专人负责，确保工作有序推进。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法治创建工作领导小组办公室充分发挥组织、协调、指导、督查职能作用，各村(居)、各部门按照法治创建领导小组会议精神，加强领导，把法治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创建工作摆上了重要议事日程，实行领导负责制和绩效目标管理考核责任制，制定年度工作计划，落实具体工作人员，确保法治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创建活动工作在村(居)、各部门真正落到实处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普法和创建工作经费保障落实到位。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　　</w:t>
      </w:r>
      <w:r>
        <w:rPr>
          <w:rFonts w:hint="eastAsia" w:ascii="楷体" w:hAnsi="楷体" w:eastAsia="楷体" w:cs="楷体"/>
          <w:b/>
          <w:bCs w:val="0"/>
          <w:color w:val="auto"/>
          <w:sz w:val="32"/>
          <w:szCs w:val="32"/>
        </w:rPr>
        <w:t>(二)增强学法意识，提高执政能力。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形成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法治意识要深入人心，形成内化于心、外化于行的良好常态。2020年，我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结合远程教育固定学习日、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“七五”普法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、扫黑除恶专项斗争等工作，制定了领导干部学法、懂法、讲法、用法计划，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范围内形成了良好学法用法氛围。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组织有关执法人员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参加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法律知识培训工作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，截至目前共接受培训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3次学时达24小时，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着力提高行政执法人员能力和水平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推动法治政府建设不断向前发展。</w:t>
      </w: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组织开展了3次廉政警示教育活动，进一步增强领导干部的学法意识和执政能力。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通过法制讲座、集中培训、年度普法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"http://kaoshi.yjbys.com" \t "_blank"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、年终考核等加强公务员行政许可法、廉政建设有关法律法规的学习宣传，培养公务员有权必有责、有权受监督、违法要追究的法纪观念。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color w:val="auto"/>
          <w:sz w:val="32"/>
          <w:szCs w:val="32"/>
        </w:rPr>
        <w:t>(三)加大宣传力度，营造良好氛围。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结合脱贫攻坚工作，利用到户帮扶工作之机送法上门，共计发放法治宣传册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8000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余份。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司法所联合派出所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在集乡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举行普法宣传4场次、在学校开展普法教育2场次。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充分借助各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32"/>
          <w:szCs w:val="32"/>
        </w:rPr>
        <w:t>中的可利用资源，积极开展法律宣传活动，在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各村</w:t>
      </w:r>
      <w:r>
        <w:rPr>
          <w:rFonts w:hint="eastAsia" w:ascii="仿宋_GB2312" w:hAnsi="仿宋_GB2312" w:eastAsia="仿宋_GB2312" w:cs="仿宋_GB2312"/>
          <w:sz w:val="32"/>
          <w:szCs w:val="32"/>
        </w:rPr>
        <w:t>中开展法制宣传栏向居民、青少年宣传一般性的法律常识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定期到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各村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开展法律咨询，通过一系列的法制宣传使他们能懂得运用法律维护自己的合法权益，增强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各村</w:t>
      </w:r>
      <w:r>
        <w:rPr>
          <w:rFonts w:hint="eastAsia" w:ascii="仿宋_GB2312" w:hAnsi="仿宋_GB2312" w:eastAsia="仿宋_GB2312" w:cs="仿宋_GB2312"/>
          <w:sz w:val="32"/>
          <w:szCs w:val="32"/>
        </w:rPr>
        <w:t>居民的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法治</w:t>
      </w:r>
      <w:r>
        <w:rPr>
          <w:rFonts w:hint="eastAsia" w:ascii="仿宋_GB2312" w:hAnsi="仿宋_GB2312" w:eastAsia="仿宋_GB2312" w:cs="仿宋_GB2312"/>
          <w:sz w:val="32"/>
          <w:szCs w:val="32"/>
        </w:rPr>
        <w:t>观念，形成学法、用法、守法的良好社会氛围。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color w:val="auto"/>
          <w:sz w:val="32"/>
          <w:szCs w:val="32"/>
        </w:rPr>
        <w:t>(四)提高信访监督，确保社会稳定。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做好信访矛盾调处化解工作，以解决重点疑难问题为突破口，落实党委班子成员定期接访制度，明确了重点人群、重点信访问题领导包抓、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村干部分级负责的工作责任制。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畅通信访渠道，规范信访程序，维护信访秩序，落实信访责任，综合运用法律、政策、经济、教育等手段，依法、及时、合理、有效地处理群众反映的实际问题。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大力开展平安建设，以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“七五”普法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宣传教育为推手，紧抓案件办理和矛盾纠纷排查，交办信访事项按期办结率达100%。加大对扫黑除恶工作的宣传摸排力度，形成了对黑恶势力的强大高压态势，全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社会大局和谐稳定，追赶超越环境良好。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 w:ascii="楷体" w:hAnsi="楷体" w:eastAsia="楷体" w:cs="楷体"/>
          <w:b/>
          <w:bCs w:val="0"/>
          <w:color w:val="auto"/>
          <w:sz w:val="32"/>
          <w:szCs w:val="32"/>
          <w:lang w:val="en-US" w:eastAsia="zh-CN" w:bidi="ar-SA"/>
        </w:rPr>
        <w:t>（五）加强涉黑涉恶线索摸排,营造良好法治环境。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 w:bidi="ar-SA"/>
        </w:rPr>
        <w:t xml:space="preserve">利用乡、村级网格加强对辖区内的信息摸排,及时掌控线索信息,及时汇总上报,争取早发现早处理,坚持对涉黑涉恶行为“零容忍”态度,给人民群众一个安定有序的社会环境。通过宣传栏、广播、入户宣传等形式向群众宣传有关的政策法规,提倡群众积极参与到扫黑除恶专项斗争工作中来,让扫黑除恶深入人心、辖区范围内人人知晓、人人喊打,加大群众监督和举报力度,在社会上形成遵纪守法的高压态势,构建法治政府的良好氛围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/>
        </w:rPr>
        <w:t>二、存在问题和不足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（一）</w:t>
      </w:r>
      <w:r>
        <w:rPr>
          <w:rFonts w:hint="eastAsia" w:asci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群众参与度较低。一是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群众没有深入的认识法治政府。由于宣传发动还不够深入，灵活性不强，形式单一，一般宣传方式多，群众喜闻乐见、通俗易懂的宣传形式少，导致群众对法治政府理解片面。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（二）</w:t>
      </w:r>
      <w:r>
        <w:rPr>
          <w:rFonts w:hint="eastAsia" w:asci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工作推进力度不够。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各村、各站所对法治政府的重要性和紧迫感认识还不足，仅停留在平时工作涉及的领域，对不熟悉的领域涉及不深，针对自身行业、领域开展的推进工作成效不明显，工作质量不高，行业监管作用没有充分发挥。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pacing w:val="8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专业队伍力量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较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薄弱。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执法专业人员缺少且老龄化严重，执法程序不够规范，法律服务尚需优化，在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法律应用、法治教育等方面做的不规范、不到位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/>
        </w:rPr>
        <w:t>三、下一步工作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　　2020年，我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将进一步提高认识，增加法治政府建设工作的责任感和紧迫感，努力提高政府依法行政工作水平，推进法治政府、服务型政府建设。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　　</w:t>
      </w:r>
      <w:r>
        <w:rPr>
          <w:rFonts w:hint="eastAsia" w:ascii="楷体" w:hAnsi="楷体" w:eastAsia="楷体" w:cs="楷体"/>
          <w:b/>
          <w:bCs w:val="0"/>
          <w:color w:val="auto"/>
          <w:sz w:val="32"/>
          <w:szCs w:val="32"/>
        </w:rPr>
        <w:t>(一)加强普法教育，严格落实普法责任制。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要深入抓好领导干部学法用法，不断提高依法执政能力，切实加强法律培训，努力提高机关工作人员法律素质和依法办事能力。领导干部要通过加强自身的法治教育和学习，牢固树立法律权威至上、法律大于权力、权力服从法律的观念，在发展经济社会事务、协调处理矛盾纠纷时，善于运用法律手段解决问题。建立并坚持领导干部学法制度，定期对其进行法律知识学习培训，提高领导干部的政治和法律业务素质，增强干部依法行政的能力，树立良好的法治政府形象，加快法治政府建设，推进全社会依法行政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二要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抓住群众普法教育不放松。加大对农村法制宣传经费投入，利用灵活多样的宣传形式，大力宣传法律知识、依法行政，让群众知法、学法，增强他们利用法律武器保护自己合法权益的意识，推进法治政府建设。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　　</w:t>
      </w:r>
      <w:r>
        <w:rPr>
          <w:rFonts w:hint="eastAsia" w:ascii="楷体" w:hAnsi="楷体" w:eastAsia="楷体" w:cs="楷体"/>
          <w:b/>
          <w:bCs w:val="0"/>
          <w:color w:val="auto"/>
          <w:sz w:val="32"/>
          <w:szCs w:val="32"/>
        </w:rPr>
        <w:t>(二)拓展创新方法，着力提高依法行政水平。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要找准切入点，打好法治工作基础。全面推进依法行政，需要领导的高度重视和一支政治强、作风硬、业务精的政府法制工作队伍。要在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依法行政工作领导小组的基础上，探索建立以纪委、人大为主的监督管理机构，负责对依法行政工作的监督和对违法案件的处理。高标准严要求配备法制工作队伍，制定法制工作人员素质培训计划，逐步实现人员专业化、办公自动化、办事程序化、处事高效化的目标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严格执行依法行政工作考核制度，规范行政执法行为，提高依法行政能力。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充分发挥人大主席团参谋、监督、助手作用。加强政府决策调研，探索思考政府职能转变及体制改革等前沿问题，拓宽依法行政的思路探索解决政府及部门工作中的行政执法问题，发挥助手作用。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color w:val="auto"/>
          <w:sz w:val="32"/>
          <w:szCs w:val="32"/>
        </w:rPr>
        <w:t>(三)进一步完善相关制度，加强法治政府建设。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进一步完善相关法制法规和制度，紧紧围绕职能科学、权责法定、执法严明、公开公正、廉洁高效、守法诚信法治政府的总体建设目标，通过深化行政审批制度改革，完善政务服务系统，健全政府法律顾问制度，健全依法决策机制;加强规范性文件监管，加强行政执法监督检查，改进行政执法;完善政府内部监督，强化重点领域监督，从而强化对行政权力的制约和监督;结合不同村社区的实际情况，有计划有步骤地完善村社区法治建设的各项规章制度，逐步建立行为规范、运转协调、公正透明、廉洁高效的法治管理体制;全面推进政务公开，不断深化法治政府建设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360" w:firstLineChars="1600"/>
        <w:textAlignment w:val="auto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360" w:firstLineChars="16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360" w:firstLineChars="1600"/>
        <w:textAlignment w:val="auto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中共李俊乡委员会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2021年3月10日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eastAsia="宋体"/>
          <w:lang w:val="en-US" w:eastAsia="zh-CN"/>
        </w:rPr>
      </w:pPr>
    </w:p>
    <w:p/>
    <w:sectPr>
      <w:pgSz w:w="11905" w:h="16837"/>
      <w:pgMar w:top="2098" w:right="1474" w:bottom="1984" w:left="1587" w:header="720" w:footer="720" w:gutter="0"/>
      <w:cols w:space="720" w:num="1"/>
      <w:rtlGutter w:val="0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30304000000000000"/>
    <w:charset w:val="86"/>
    <w:family w:val="auto"/>
    <w:pitch w:val="default"/>
    <w:sig w:usb0="E7FFAEFF" w:usb1="F9FFFFFF" w:usb2="000FFDFF" w:usb3="00000000" w:csb0="603F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7B7D0"/>
    <w:rsid w:val="1F591BFE"/>
    <w:rsid w:val="276D58EC"/>
    <w:rsid w:val="3BFF97EB"/>
    <w:rsid w:val="535ADEA4"/>
    <w:rsid w:val="59CB198E"/>
    <w:rsid w:val="5A7F0DDF"/>
    <w:rsid w:val="5DFF219C"/>
    <w:rsid w:val="617F4346"/>
    <w:rsid w:val="63FFDC87"/>
    <w:rsid w:val="6CD25556"/>
    <w:rsid w:val="6F7D289C"/>
    <w:rsid w:val="73BE8494"/>
    <w:rsid w:val="756F4C73"/>
    <w:rsid w:val="761F4DA5"/>
    <w:rsid w:val="76D76294"/>
    <w:rsid w:val="7F7BD0E2"/>
    <w:rsid w:val="7F9F63B1"/>
    <w:rsid w:val="91EF965C"/>
    <w:rsid w:val="95CB320E"/>
    <w:rsid w:val="B67D477C"/>
    <w:rsid w:val="CEBF4912"/>
    <w:rsid w:val="DDEFCC99"/>
    <w:rsid w:val="DF7F164B"/>
    <w:rsid w:val="DFFF6F53"/>
    <w:rsid w:val="F8FDF8DE"/>
    <w:rsid w:val="F9E77203"/>
    <w:rsid w:val="FB7FAA56"/>
    <w:rsid w:val="FCFBDA14"/>
    <w:rsid w:val="FDFE1162"/>
    <w:rsid w:val="FE632F78"/>
    <w:rsid w:val="FEFDBEBF"/>
    <w:rsid w:val="FF3FB8E1"/>
    <w:rsid w:val="FFCA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啊"/>
    <w:basedOn w:val="1"/>
    <w:qFormat/>
    <w:uiPriority w:val="0"/>
    <w:pPr>
      <w:spacing w:beforeLines="100" w:line="276" w:lineRule="auto"/>
      <w:ind w:left="210" w:right="210" w:firstLine="600"/>
      <w:contextualSpacing/>
    </w:pPr>
    <w:rPr>
      <w:rFonts w:ascii="微软雅黑" w:hAnsi="微软雅黑" w:eastAsia="微软雅黑"/>
      <w:color w:val="000000"/>
      <w:sz w:val="24"/>
      <w:szCs w:val="21"/>
    </w:rPr>
  </w:style>
  <w:style w:type="paragraph" w:styleId="3">
    <w:name w:val="Normal Indent"/>
    <w:basedOn w:val="1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2022-01-15T03:15:00Z</dcterms:created>
  <dc:creator>Administrator</dc:creator>
  <cp:lastModifiedBy>kylin</cp:lastModifiedBy>
  <dcterms:modified xsi:type="dcterms:W3CDTF">2025-01-15T14:52:55Z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5746D1423508442C475B87670F5BABDC</vt:lpwstr>
  </property>
</Properties>
</file>