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D44996">
      <w:pPr>
        <w:widowControl/>
        <w:shd w:val="clear" w:color="auto" w:fill="FFFFFF"/>
        <w:spacing w:line="560" w:lineRule="exact"/>
        <w:jc w:val="left"/>
        <w:rPr>
          <w:rFonts w:ascii="Arial" w:hAnsi="Arial" w:eastAsia="方正小标宋简体" w:cs="Arial"/>
          <w:b/>
          <w:bCs/>
          <w:kern w:val="0"/>
          <w:sz w:val="44"/>
          <w:szCs w:val="44"/>
        </w:rPr>
      </w:pPr>
      <w:r>
        <w:rPr>
          <w:rFonts w:hint="eastAsia" w:ascii="楷体" w:hAnsi="楷体" w:eastAsia="楷体" w:cs="楷体"/>
          <w:b/>
          <w:bCs/>
          <w:kern w:val="0"/>
          <w:sz w:val="32"/>
          <w:szCs w:val="32"/>
        </w:rPr>
        <w:t>附件2：</w:t>
      </w:r>
    </w:p>
    <w:p w14:paraId="362AD91C">
      <w:pPr>
        <w:spacing w:line="600" w:lineRule="exact"/>
        <w:jc w:val="center"/>
        <w:rPr>
          <w:rFonts w:ascii="Arial" w:hAnsi="Arial" w:eastAsia="方正小标宋简体" w:cs="Arial"/>
          <w:b/>
          <w:bCs/>
          <w:kern w:val="0"/>
          <w:sz w:val="44"/>
          <w:szCs w:val="44"/>
        </w:rPr>
      </w:pPr>
      <w:r>
        <w:rPr>
          <w:rFonts w:hint="eastAsia" w:ascii="Arial" w:hAnsi="Arial" w:eastAsia="方正小标宋简体" w:cs="Arial"/>
          <w:b/>
          <w:bCs/>
          <w:kern w:val="0"/>
          <w:sz w:val="44"/>
          <w:szCs w:val="44"/>
          <w:lang w:eastAsia="zh-CN"/>
        </w:rPr>
        <w:t>海原</w:t>
      </w:r>
      <w:r>
        <w:rPr>
          <w:rFonts w:hint="eastAsia" w:ascii="Arial" w:hAnsi="Arial" w:eastAsia="方正小标宋简体" w:cs="Arial"/>
          <w:b/>
          <w:bCs/>
          <w:kern w:val="0"/>
          <w:sz w:val="44"/>
          <w:szCs w:val="44"/>
        </w:rPr>
        <w:t>县</w:t>
      </w:r>
      <w:r>
        <w:rPr>
          <w:rFonts w:ascii="Arial" w:hAnsi="Arial" w:eastAsia="方正小标宋简体" w:cs="Arial"/>
          <w:b/>
          <w:bCs/>
          <w:kern w:val="0"/>
          <w:sz w:val="44"/>
          <w:szCs w:val="44"/>
        </w:rPr>
        <w:t>烟草制品零售点</w:t>
      </w:r>
      <w:r>
        <w:rPr>
          <w:rFonts w:hint="eastAsia" w:ascii="Arial" w:hAnsi="Arial" w:eastAsia="方正小标宋简体" w:cs="Arial"/>
          <w:b/>
          <w:bCs/>
          <w:kern w:val="0"/>
          <w:sz w:val="44"/>
          <w:szCs w:val="44"/>
        </w:rPr>
        <w:t>间距</w:t>
      </w:r>
      <w:r>
        <w:rPr>
          <w:rFonts w:ascii="Arial" w:hAnsi="Arial" w:eastAsia="方正小标宋简体" w:cs="Arial"/>
          <w:b/>
          <w:bCs/>
          <w:kern w:val="0"/>
          <w:sz w:val="44"/>
          <w:szCs w:val="44"/>
        </w:rPr>
        <w:t>现场测量标准</w:t>
      </w:r>
    </w:p>
    <w:p w14:paraId="63264683">
      <w:pPr>
        <w:spacing w:line="600" w:lineRule="exact"/>
        <w:jc w:val="center"/>
        <w:rPr>
          <w:rFonts w:ascii="Arial" w:hAnsi="Arial" w:eastAsia="方正小标宋简体" w:cs="Arial"/>
          <w:b/>
          <w:bCs/>
          <w:color w:val="auto"/>
          <w:sz w:val="44"/>
          <w:szCs w:val="44"/>
        </w:rPr>
      </w:pPr>
      <w:r>
        <w:rPr>
          <w:rFonts w:hint="eastAsia" w:ascii="Arial" w:hAnsi="Arial" w:eastAsia="方正小标宋简体" w:cs="Arial"/>
          <w:b/>
          <w:bCs/>
          <w:color w:val="auto"/>
          <w:sz w:val="44"/>
          <w:szCs w:val="44"/>
          <w:lang w:eastAsia="zh-CN"/>
        </w:rPr>
        <w:t>（</w:t>
      </w:r>
      <w:r>
        <w:rPr>
          <w:rFonts w:hint="eastAsia" w:ascii="Arial" w:hAnsi="Arial" w:eastAsia="方正小标宋简体" w:cs="Arial"/>
          <w:b/>
          <w:bCs/>
          <w:color w:val="auto"/>
          <w:sz w:val="44"/>
          <w:szCs w:val="44"/>
          <w:lang w:val="en-US" w:eastAsia="zh-CN"/>
        </w:rPr>
        <w:t>听证稿</w:t>
      </w:r>
      <w:r>
        <w:rPr>
          <w:rFonts w:hint="eastAsia" w:ascii="Arial" w:hAnsi="Arial" w:eastAsia="方正小标宋简体" w:cs="Arial"/>
          <w:b/>
          <w:bCs/>
          <w:color w:val="auto"/>
          <w:sz w:val="44"/>
          <w:szCs w:val="44"/>
          <w:lang w:eastAsia="zh-CN"/>
        </w:rPr>
        <w:t>）</w:t>
      </w:r>
    </w:p>
    <w:p w14:paraId="6E50F9E4">
      <w:pPr>
        <w:widowControl/>
        <w:shd w:val="clear" w:color="auto" w:fill="FFFFFF"/>
        <w:spacing w:line="560" w:lineRule="exact"/>
        <w:jc w:val="left"/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</w:p>
    <w:p w14:paraId="79602F50">
      <w:pPr>
        <w:widowControl/>
        <w:shd w:val="clear" w:color="auto" w:fill="FFFFFF"/>
        <w:spacing w:line="600" w:lineRule="exact"/>
        <w:ind w:firstLine="640"/>
        <w:jc w:val="left"/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为统一、规范现场测量标准，确保烟草制品零售点勘验公开、公平、公正，依据《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eastAsia="zh-CN" w:bidi="ar"/>
        </w:rPr>
        <w:t>海原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县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烟草制品零售点合理布局规定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（试行）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》（以下简称《合理布局规定》），制定本标准。</w:t>
      </w:r>
    </w:p>
    <w:p w14:paraId="6B7B8D72">
      <w:pPr>
        <w:widowControl/>
        <w:shd w:val="clear" w:color="auto" w:fill="FFFFFF"/>
        <w:spacing w:line="600" w:lineRule="exact"/>
        <w:ind w:firstLine="643"/>
        <w:jc w:val="left"/>
        <w:rPr>
          <w:rFonts w:ascii="仿宋_GB2312" w:hAnsi="Verdana" w:eastAsia="仿宋_GB2312" w:cs="仿宋_GB2312"/>
          <w:b/>
          <w:bCs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黑体" w:hAnsi="黑体" w:eastAsia="黑体" w:cs="黑体"/>
          <w:sz w:val="32"/>
          <w:szCs w:val="32"/>
        </w:rPr>
        <w:t>第一条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ascii="仿宋_GB2312" w:hAnsi="Verdana" w:eastAsia="仿宋_GB2312" w:cs="仿宋_GB2312"/>
          <w:b/>
          <w:bCs/>
          <w:color w:val="333333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本标准适用于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eastAsia="zh-CN" w:bidi="ar"/>
        </w:rPr>
        <w:t>海原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县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烟草专卖局对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辖区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烟草制品零售点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间距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的现场测量工作。</w:t>
      </w:r>
    </w:p>
    <w:p w14:paraId="4A64D340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</w:rPr>
        <w:t>二</w:t>
      </w:r>
      <w:r>
        <w:rPr>
          <w:rFonts w:ascii="黑体" w:hAnsi="黑体" w:eastAsia="黑体" w:cs="黑体"/>
          <w:sz w:val="32"/>
          <w:szCs w:val="32"/>
        </w:rPr>
        <w:t>条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eastAsia="zh-CN" w:bidi="ar"/>
        </w:rPr>
        <w:t>海原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县烟草制品零售点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间距测量按照《中华人民共和国道路交通安全法》及《中华人民共和国道路交通安全法实施条例》行人行走路径的距离进行测量，为申请人的经营场所出（入）口至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最近的零售点出（入）口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门沿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的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最短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距离，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不测量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翻越护栏、绿化带等违反交通法规的通行距离。</w:t>
      </w:r>
    </w:p>
    <w:p w14:paraId="7B236993">
      <w:pPr>
        <w:widowControl/>
        <w:shd w:val="clear" w:color="auto" w:fill="FFFFFF"/>
        <w:spacing w:line="600" w:lineRule="exact"/>
        <w:ind w:firstLine="643"/>
        <w:jc w:val="left"/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</w:pPr>
      <w:r>
        <w:rPr>
          <w:rFonts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</w:rPr>
        <w:t>三</w:t>
      </w:r>
      <w:r>
        <w:rPr>
          <w:rFonts w:ascii="黑体" w:hAnsi="黑体" w:eastAsia="黑体" w:cs="黑体"/>
          <w:sz w:val="32"/>
          <w:szCs w:val="32"/>
        </w:rPr>
        <w:t>条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申请人的经营场所有两个（含）以上出（入）口的，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各出（入）口至最近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零售点的距离应当同时满足所在区域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零售点间距规定。</w:t>
      </w:r>
    </w:p>
    <w:p w14:paraId="467C7920">
      <w:pPr>
        <w:widowControl/>
        <w:shd w:val="clear" w:color="auto" w:fill="FFFFFF"/>
        <w:spacing w:line="600" w:lineRule="exact"/>
        <w:ind w:firstLine="643"/>
        <w:jc w:val="left"/>
        <w:rPr>
          <w:rFonts w:hint="default" w:ascii="Verdana" w:hAnsi="Verdana" w:eastAsia="仿宋_GB2312" w:cs="Verdana"/>
          <w:color w:val="auto"/>
          <w:szCs w:val="21"/>
          <w:lang w:val="en-US" w:eastAsia="zh-CN"/>
        </w:rPr>
      </w:pP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本标准所指的参照点，是指以新办申请户为圆点半径范围内最短距离的持证零售户。</w:t>
      </w:r>
    </w:p>
    <w:p w14:paraId="7B28E7C7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</w:rPr>
        <w:t>四</w:t>
      </w:r>
      <w:r>
        <w:rPr>
          <w:rFonts w:ascii="黑体" w:hAnsi="黑体" w:eastAsia="黑体" w:cs="黑体"/>
          <w:sz w:val="32"/>
          <w:szCs w:val="32"/>
        </w:rPr>
        <w:t>条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间隔距离按以下规则测量：</w:t>
      </w:r>
    </w:p>
    <w:p w14:paraId="5265F0D4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楷体" w:hAnsi="楷体" w:eastAsia="楷体" w:cs="楷体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（一）道路同侧情况</w:t>
      </w:r>
    </w:p>
    <w:p w14:paraId="6468BCF7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1.无障碍物</w:t>
      </w:r>
    </w:p>
    <w:p w14:paraId="4831193C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申请点与参照零售点道路同侧的，且门店之间无障碍物的，按申请点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零售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3544C782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728980</wp:posOffset>
            </wp:positionH>
            <wp:positionV relativeFrom="paragraph">
              <wp:posOffset>-8824595</wp:posOffset>
            </wp:positionV>
            <wp:extent cx="4218305" cy="1969135"/>
            <wp:effectExtent l="0" t="0" r="10795" b="12065"/>
            <wp:wrapTopAndBottom/>
            <wp:docPr id="3" name="图片 2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18305" cy="196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2.可跨越通行的障碍物</w:t>
      </w:r>
    </w:p>
    <w:p w14:paraId="1796D94E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申请点与参照零售点道路同侧的，且门店之间存在可跨越通行的低矮障碍物（如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eastAsia="zh-CN" w:bidi="ar"/>
        </w:rPr>
        <w:t>：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隔离墩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、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水泥（石）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墩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、台阶、低矮栏杆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等）的，按申请点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零售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7C73A5B2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408305</wp:posOffset>
            </wp:positionH>
            <wp:positionV relativeFrom="paragraph">
              <wp:posOffset>311150</wp:posOffset>
            </wp:positionV>
            <wp:extent cx="4913630" cy="1901825"/>
            <wp:effectExtent l="0" t="0" r="1270" b="3175"/>
            <wp:wrapTopAndBottom/>
            <wp:docPr id="5" name="图片 3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13630" cy="190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553AFA83">
      <w:pPr>
        <w:widowControl/>
        <w:shd w:val="clear" w:color="auto" w:fill="FFFFFF"/>
        <w:spacing w:line="240" w:lineRule="auto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3.不可跨越通行的障碍物</w:t>
      </w:r>
    </w:p>
    <w:p w14:paraId="3BF08EDC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eastAsia="zh-CN" w:bidi="a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272415</wp:posOffset>
            </wp:positionH>
            <wp:positionV relativeFrom="paragraph">
              <wp:posOffset>1273810</wp:posOffset>
            </wp:positionV>
            <wp:extent cx="5017135" cy="1913890"/>
            <wp:effectExtent l="0" t="0" r="12065" b="10160"/>
            <wp:wrapTopAndBottom/>
            <wp:docPr id="1" name="图片 4" descr="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0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17135" cy="191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申请点与参照零售点道路同侧的，且门店之间存在不可跨越通行的障碍物（如隔离护栏、护墙、花坛等）的，按申请点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与参照零售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之间绕过障碍物的可通行最短距离测量：</w:t>
      </w:r>
    </w:p>
    <w:p w14:paraId="7FB2579B">
      <w:pPr>
        <w:widowControl/>
        <w:shd w:val="clear" w:color="auto" w:fill="FFFFFF"/>
        <w:spacing w:line="600" w:lineRule="exact"/>
        <w:ind w:firstLine="643" w:firstLineChars="20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楷体" w:hAnsi="楷体" w:eastAsia="楷体" w:cs="楷体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（二）道路对侧情况</w:t>
      </w:r>
    </w:p>
    <w:p w14:paraId="48A4FAF6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1.设置有过街设施的路段</w:t>
      </w:r>
    </w:p>
    <w:p w14:paraId="1181BCEB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申请点与参照零售点位于道路对侧的，且道路中间设有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（起点距离申请点门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20米内）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的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，应按照交通规则通过过街设施，按申请点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175D3D0A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977900</wp:posOffset>
            </wp:positionH>
            <wp:positionV relativeFrom="paragraph">
              <wp:posOffset>157480</wp:posOffset>
            </wp:positionV>
            <wp:extent cx="4126865" cy="1920240"/>
            <wp:effectExtent l="0" t="0" r="6985" b="3810"/>
            <wp:wrapTopAndBottom/>
            <wp:docPr id="2" name="图片 5" descr="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0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26865" cy="192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4E502700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2.无过街设施的路段，无障碍物</w:t>
      </w:r>
    </w:p>
    <w:p w14:paraId="282DFBAC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申请点与参照零售点位于道路对侧的，道路中间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过街设施的，且道路中间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隔离护栏、护墙，花坛的，按申请点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1D5939D7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1023620</wp:posOffset>
            </wp:positionH>
            <wp:positionV relativeFrom="paragraph">
              <wp:posOffset>146050</wp:posOffset>
            </wp:positionV>
            <wp:extent cx="4053840" cy="1920240"/>
            <wp:effectExtent l="0" t="0" r="3810" b="3810"/>
            <wp:wrapTopAndBottom/>
            <wp:docPr id="4" name="图片 6" descr="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6" descr="0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53840" cy="192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7BDD3ABF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3.无过街设施的路段，有障碍物</w:t>
      </w:r>
    </w:p>
    <w:p w14:paraId="38AABA7C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申请点与参照零售点位于道路对侧的，道路中间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过街设施的，且道路中间设有不可跨越通行的隔离护栏、护墙，花坛的（且不可通行的），按申请点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与参照零售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之间的步行最短距离测量：</w:t>
      </w:r>
    </w:p>
    <w:p w14:paraId="42A84FAA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406400</wp:posOffset>
            </wp:positionH>
            <wp:positionV relativeFrom="paragraph">
              <wp:posOffset>67945</wp:posOffset>
            </wp:positionV>
            <wp:extent cx="4834255" cy="1999615"/>
            <wp:effectExtent l="0" t="0" r="4445" b="635"/>
            <wp:wrapTopAndBottom/>
            <wp:docPr id="8" name="图片 7" descr="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0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34255" cy="199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790242BA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楷体" w:hAnsi="楷体" w:eastAsia="楷体" w:cs="楷体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（三）路口情况</w:t>
      </w:r>
    </w:p>
    <w:p w14:paraId="4391F1DB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1.直角拐弯</w:t>
      </w:r>
    </w:p>
    <w:p w14:paraId="486CC87E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申请点与参照零售点在路口处成直角或圆角或弧形分布的，应贴近墙角按申请点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569185E0">
      <w:pPr>
        <w:widowControl/>
        <w:shd w:val="clear" w:color="auto" w:fill="FFFFFF"/>
        <w:spacing w:line="240" w:lineRule="auto"/>
        <w:ind w:firstLine="640"/>
        <w:jc w:val="left"/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605155</wp:posOffset>
            </wp:positionH>
            <wp:positionV relativeFrom="paragraph">
              <wp:posOffset>360045</wp:posOffset>
            </wp:positionV>
            <wp:extent cx="4297680" cy="1901825"/>
            <wp:effectExtent l="0" t="0" r="7620" b="3175"/>
            <wp:wrapTopAndBottom/>
            <wp:docPr id="6" name="图片 8" descr="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8" descr="0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97680" cy="190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6F8BDC0">
      <w:pPr>
        <w:widowControl/>
        <w:shd w:val="clear" w:color="auto" w:fill="FFFFFF"/>
        <w:spacing w:line="240" w:lineRule="auto"/>
        <w:ind w:firstLine="640"/>
        <w:jc w:val="left"/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</w:pPr>
    </w:p>
    <w:p w14:paraId="3CAEDB09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2.十字路口同半侧</w:t>
      </w:r>
    </w:p>
    <w:p w14:paraId="29C3C7B8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申请点与参照零售点在十字路口中轴线同一半侧的道路对侧的，可参照道路对侧情况进行测量，按申请点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FF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可通行的最短距离测量。具体测量办法视有无交通信号灯、人行横道或过街设施的路段以及障碍物情况而定：</w:t>
      </w:r>
    </w:p>
    <w:p w14:paraId="47EDC5D6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1240790</wp:posOffset>
            </wp:positionH>
            <wp:positionV relativeFrom="paragraph">
              <wp:posOffset>187325</wp:posOffset>
            </wp:positionV>
            <wp:extent cx="3584575" cy="1548130"/>
            <wp:effectExtent l="0" t="0" r="15875" b="13970"/>
            <wp:wrapTopAndBottom/>
            <wp:docPr id="7" name="图片 9" descr="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9" descr="0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84575" cy="154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38C0453F">
      <w:pPr>
        <w:widowControl/>
        <w:shd w:val="clear" w:color="auto" w:fill="FFFFFF"/>
        <w:spacing w:line="600" w:lineRule="exact"/>
        <w:ind w:firstLine="643"/>
        <w:jc w:val="left"/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" w:hAnsi="仿宋" w:eastAsia="仿宋" w:cs="仿宋"/>
          <w:b/>
          <w:bCs/>
          <w:color w:val="333333"/>
          <w:kern w:val="0"/>
          <w:sz w:val="32"/>
          <w:szCs w:val="32"/>
          <w:shd w:val="clear" w:color="auto" w:fill="FFFFFF"/>
          <w:lang w:bidi="ar"/>
        </w:rPr>
        <w:t>3.十字路口对角（有过街设施）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申请点与参照零售点位于十字路口对角位置的，且路口中间设有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（起点距离申请点门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20米内）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的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，应按照交通规则通过过街设施，按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10A88287">
      <w:pPr>
        <w:widowControl/>
        <w:shd w:val="clear" w:color="auto" w:fill="FFFFFF"/>
        <w:spacing w:line="240" w:lineRule="auto"/>
        <w:ind w:firstLine="643"/>
        <w:jc w:val="left"/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eastAsia="zh-CN" w:bidi="a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1448435</wp:posOffset>
            </wp:positionH>
            <wp:positionV relativeFrom="paragraph">
              <wp:posOffset>94615</wp:posOffset>
            </wp:positionV>
            <wp:extent cx="3584575" cy="2523490"/>
            <wp:effectExtent l="0" t="0" r="15875" b="10160"/>
            <wp:wrapTopAndBottom/>
            <wp:docPr id="9" name="图片 10" descr="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0" descr="0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584575" cy="252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7C3CD66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4.十字路口对角（无过街设施）</w:t>
      </w:r>
    </w:p>
    <w:p w14:paraId="75B18D6C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申请点与参照零售点位于十字路口对角位置的，且路口中间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过街设施的，按申请点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bookmarkStart w:id="0" w:name="_GoBack"/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零售点门</w:t>
      </w:r>
      <w:bookmarkEnd w:id="0"/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</w:p>
    <w:p w14:paraId="5766B3F6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楷体" w:hAnsi="楷体" w:eastAsia="楷体" w:cs="楷体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1412240</wp:posOffset>
            </wp:positionH>
            <wp:positionV relativeFrom="paragraph">
              <wp:posOffset>27940</wp:posOffset>
            </wp:positionV>
            <wp:extent cx="3523615" cy="2261870"/>
            <wp:effectExtent l="0" t="0" r="635" b="5080"/>
            <wp:wrapTopAndBottom/>
            <wp:docPr id="10" name="图片 11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1" descr="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523615" cy="226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楷体" w:hAnsi="楷体" w:eastAsia="楷体" w:cs="楷体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（四）申请点或零售点多门情况</w:t>
      </w:r>
    </w:p>
    <w:p w14:paraId="4619AF84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1.道路同侧情况</w:t>
      </w:r>
    </w:p>
    <w:p w14:paraId="4D72ABBB">
      <w:pPr>
        <w:widowControl/>
        <w:shd w:val="clear" w:color="auto" w:fill="FFFFFF"/>
        <w:spacing w:line="600" w:lineRule="exact"/>
        <w:ind w:firstLine="640"/>
        <w:jc w:val="left"/>
        <w:rPr>
          <w:rFonts w:ascii="仿宋" w:hAnsi="仿宋" w:eastAsia="仿宋" w:cs="仿宋"/>
          <w:color w:val="auto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" w:hAnsi="仿宋" w:eastAsia="仿宋" w:cs="仿宋"/>
          <w:color w:val="auto"/>
          <w:kern w:val="0"/>
          <w:sz w:val="32"/>
          <w:szCs w:val="32"/>
          <w:shd w:val="clear" w:color="auto" w:fill="FFFFFF"/>
          <w:lang w:bidi="ar"/>
        </w:rPr>
        <w:t>申请点或参照零售点有多个门道的，测量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申请点与参照零售点之间</w:t>
      </w:r>
      <w:r>
        <w:rPr>
          <w:rFonts w:ascii="仿宋" w:hAnsi="仿宋" w:eastAsia="仿宋" w:cs="仿宋"/>
          <w:color w:val="auto"/>
          <w:kern w:val="0"/>
          <w:sz w:val="32"/>
          <w:szCs w:val="32"/>
          <w:shd w:val="clear" w:color="auto" w:fill="FFFFFF"/>
          <w:lang w:bidi="ar"/>
        </w:rPr>
        <w:t>最近门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" w:hAnsi="仿宋" w:eastAsia="仿宋" w:cs="仿宋"/>
          <w:color w:val="auto"/>
          <w:kern w:val="0"/>
          <w:sz w:val="32"/>
          <w:szCs w:val="32"/>
          <w:shd w:val="clear" w:color="auto" w:fill="FFFFFF"/>
          <w:lang w:bidi="ar"/>
        </w:rPr>
        <w:t>可通行最短距离：</w:t>
      </w:r>
    </w:p>
    <w:p w14:paraId="4CE91896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692150</wp:posOffset>
            </wp:positionH>
            <wp:positionV relativeFrom="paragraph">
              <wp:posOffset>93980</wp:posOffset>
            </wp:positionV>
            <wp:extent cx="4151630" cy="1932305"/>
            <wp:effectExtent l="0" t="0" r="1270" b="10795"/>
            <wp:wrapTopAndBottom/>
            <wp:docPr id="11" name="图片 12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2" descr="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151630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2.十字路口情况</w:t>
      </w:r>
    </w:p>
    <w:p w14:paraId="7CD7AF9B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（1）申请点与参照零售点在十字路口中轴线同一半侧的道路对侧的，按申请点最近一侧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零售点最近一侧</w:t>
      </w:r>
      <w:r>
        <w:rPr>
          <w:rFonts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门</w:t>
      </w:r>
      <w:r>
        <w:rPr>
          <w:rFonts w:hint="eastAsia" w:ascii="仿宋_GB2312" w:hAnsi="Verdana" w:eastAsia="仿宋_GB2312" w:cs="仿宋_GB2312"/>
          <w:color w:val="333333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可通行的最短距离测量。具体测量办法视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申请点门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20米内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有无过街设施以及障碍物情况而定。</w:t>
      </w:r>
    </w:p>
    <w:p w14:paraId="02B60BDF">
      <w:pPr>
        <w:widowControl/>
        <w:shd w:val="clear" w:color="auto" w:fill="FFFFFF"/>
        <w:spacing w:line="240" w:lineRule="auto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932180</wp:posOffset>
            </wp:positionH>
            <wp:positionV relativeFrom="paragraph">
              <wp:posOffset>40640</wp:posOffset>
            </wp:positionV>
            <wp:extent cx="4145280" cy="2450465"/>
            <wp:effectExtent l="0" t="0" r="7620" b="6985"/>
            <wp:wrapTopAndBottom/>
            <wp:docPr id="14" name="图片 13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 descr="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45280" cy="245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6EFC034E">
      <w:pPr>
        <w:widowControl/>
        <w:shd w:val="clear" w:color="auto" w:fill="FFFFFF"/>
        <w:spacing w:line="240" w:lineRule="auto"/>
        <w:ind w:firstLine="640"/>
        <w:jc w:val="left"/>
        <w:rPr>
          <w:rFonts w:hint="eastAsia" w:ascii="Verdana" w:hAnsi="Verdana" w:eastAsia="仿宋_GB2312" w:cs="Verdana"/>
          <w:color w:val="333333"/>
          <w:szCs w:val="21"/>
          <w:lang w:eastAsia="zh-CN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（2）申请点与参照零售点位于十字路口对角位置的，且路口中间设有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（起点距离申请点门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20米内）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，应按照交通规则通过过街设施，按申请点最近一侧门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零售点最近一侧门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（即可通行最短距离）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：</w:t>
      </w:r>
    </w:p>
    <w:p w14:paraId="5D9BFE97">
      <w:pPr>
        <w:widowControl/>
        <w:shd w:val="clear" w:color="auto" w:fill="FFFFFF"/>
        <w:spacing w:line="240" w:lineRule="auto"/>
        <w:ind w:firstLine="640"/>
        <w:jc w:val="left"/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Verdana" w:hAnsi="Verdana" w:eastAsia="仿宋_GB2312" w:cs="Verdana"/>
          <w:color w:val="333333"/>
          <w:szCs w:val="21"/>
          <w:lang w:eastAsia="zh-CN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902970</wp:posOffset>
            </wp:positionH>
            <wp:positionV relativeFrom="paragraph">
              <wp:posOffset>141605</wp:posOffset>
            </wp:positionV>
            <wp:extent cx="4218305" cy="2871470"/>
            <wp:effectExtent l="0" t="0" r="10795" b="5080"/>
            <wp:wrapTopAndBottom/>
            <wp:docPr id="12" name="图片 14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4" descr="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18305" cy="287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0FB00D05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（3）申请点与参照零售点位于十字路口对角位置的，且路口中间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无天桥、地下通道等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过街设施的，按申请点最近一侧门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至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参照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零售点最近一侧门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可通行的最短距离测量：</w:t>
      </w:r>
      <w:r>
        <w:rPr>
          <w:rFonts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</w:p>
    <w:p w14:paraId="59339248">
      <w:pPr>
        <w:widowControl/>
        <w:shd w:val="clear" w:color="auto" w:fill="FFFFFF"/>
        <w:spacing w:line="600" w:lineRule="exact"/>
        <w:ind w:firstLine="640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104775</wp:posOffset>
            </wp:positionV>
            <wp:extent cx="3800475" cy="2695575"/>
            <wp:effectExtent l="0" t="0" r="9525" b="9525"/>
            <wp:wrapTopAndBottom/>
            <wp:docPr id="13" name="图片 15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5" descr="1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800475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（五）申请点与参照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零售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点之间有楼梯、自动扶梯的，以其平面坡长进行测量；有直升降电梯的，以层高进行测量；同时有自动扶梯、直升降电梯的，以行人无障碍可通行最短距离进行测量（平面距离测量起始点均为门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沿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）：</w:t>
      </w:r>
    </w:p>
    <w:p w14:paraId="1BB2BAC3">
      <w:pPr>
        <w:widowControl/>
        <w:shd w:val="clear" w:color="auto" w:fill="FFFFFF"/>
        <w:spacing w:line="600" w:lineRule="exact"/>
        <w:ind w:firstLine="640"/>
        <w:jc w:val="left"/>
        <w:rPr>
          <w:rFonts w:ascii="仿宋_GB2312" w:hAnsi="Verdana" w:eastAsia="仿宋_GB2312" w:cs="仿宋_GB2312"/>
          <w:b/>
          <w:bCs/>
          <w:color w:val="auto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850265</wp:posOffset>
            </wp:positionH>
            <wp:positionV relativeFrom="paragraph">
              <wp:posOffset>26670</wp:posOffset>
            </wp:positionV>
            <wp:extent cx="4255770" cy="1911350"/>
            <wp:effectExtent l="0" t="0" r="11430" b="12700"/>
            <wp:wrapTopAndBottom/>
            <wp:docPr id="16" name="图片 16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55770" cy="191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hAnsi="仿宋" w:eastAsia="仿宋" w:cs="仿宋"/>
          <w:color w:val="333333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</w:rPr>
        <w:t>五</w:t>
      </w:r>
      <w:r>
        <w:rPr>
          <w:rFonts w:ascii="黑体" w:hAnsi="黑体" w:eastAsia="黑体" w:cs="黑体"/>
          <w:sz w:val="32"/>
          <w:szCs w:val="32"/>
        </w:rPr>
        <w:t>条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ascii="仿宋_GB2312" w:hAnsi="Verdana" w:eastAsia="仿宋_GB2312" w:cs="仿宋_GB2312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零售点与中小学校、幼儿园间距测量，为从申请人的经营场所靠近学校一侧的出（入）口至学校最近的进出通道口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最近一侧门沿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的距离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eastAsia="zh-CN" w:bidi="ar"/>
        </w:rPr>
        <w:t>，“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进出通道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eastAsia="zh-CN" w:bidi="ar"/>
        </w:rPr>
        <w:t>”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包括：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</w:rPr>
        <w:t>正门、侧门、消防通道、应急通道等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。</w:t>
      </w:r>
    </w:p>
    <w:p w14:paraId="751CE816">
      <w:pPr>
        <w:widowControl/>
        <w:shd w:val="clear" w:color="auto" w:fill="FFFFFF"/>
        <w:spacing w:line="600" w:lineRule="exact"/>
        <w:ind w:firstLine="643"/>
        <w:jc w:val="left"/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  <w:r>
        <w:rPr>
          <w:rFonts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</w:rPr>
        <w:t>六</w:t>
      </w:r>
      <w:r>
        <w:rPr>
          <w:rFonts w:ascii="黑体" w:hAnsi="黑体" w:eastAsia="黑体" w:cs="黑体"/>
          <w:sz w:val="32"/>
          <w:szCs w:val="32"/>
        </w:rPr>
        <w:t>条</w:t>
      </w:r>
      <w:r>
        <w:rPr>
          <w:rFonts w:ascii="仿宋_GB2312" w:hAnsi="Verdana" w:eastAsia="仿宋_GB2312" w:cs="仿宋_GB2312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> </w:t>
      </w:r>
      <w:r>
        <w:rPr>
          <w:rFonts w:hint="eastAsia" w:ascii="仿宋_GB2312" w:hAnsi="Verdana" w:eastAsia="仿宋_GB2312" w:cs="仿宋_GB2312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间距距离使用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卷尺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进行测量，测量结果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误差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在0.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 w:bidi="ar"/>
        </w:rPr>
        <w:t>1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米</w:t>
      </w:r>
      <w:r>
        <w:rPr>
          <w:rFonts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范围以内，申请人或利害关系人提出复核的，由测量单位</w:t>
      </w:r>
      <w:r>
        <w:rPr>
          <w:rFonts w:hint="eastAsia" w:ascii="仿宋_GB2312" w:hAnsi="Verdana" w:eastAsia="仿宋_GB2312" w:cs="仿宋_GB2312"/>
          <w:color w:val="auto"/>
          <w:kern w:val="0"/>
          <w:sz w:val="32"/>
          <w:szCs w:val="32"/>
          <w:shd w:val="clear" w:color="auto" w:fill="FFFFFF"/>
          <w:lang w:bidi="ar"/>
        </w:rPr>
        <w:t>纪检监察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或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法制监督部门参与进行二次勘验，并制作现场勘验表和全程视频音频记录。</w:t>
      </w:r>
    </w:p>
    <w:p w14:paraId="01A4FFBD">
      <w:pPr>
        <w:widowControl/>
        <w:shd w:val="clear" w:color="auto" w:fill="FFFFFF"/>
        <w:spacing w:line="600" w:lineRule="exact"/>
        <w:ind w:firstLine="643"/>
        <w:jc w:val="left"/>
        <w:rPr>
          <w:rFonts w:ascii="仿宋_GB2312" w:hAnsi="Verdana" w:eastAsia="仿宋_GB2312" w:cs="仿宋_GB2312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sz w:val="32"/>
          <w:szCs w:val="32"/>
        </w:rPr>
        <w:t xml:space="preserve">条 </w:t>
      </w:r>
      <w:r>
        <w:rPr>
          <w:rFonts w:hint="eastAsia" w:ascii="仿宋_GB2312" w:hAnsi="Verdana" w:eastAsia="仿宋_GB2312" w:cs="仿宋_GB2312"/>
          <w:b/>
          <w:bCs/>
          <w:color w:val="000000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间距测量时测量值超出零售点设置标准要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highlight w:val="none"/>
          <w:shd w:val="clear" w:color="auto" w:fill="FFFFFF"/>
          <w:lang w:bidi="ar"/>
        </w:rPr>
        <w:t>求</w:t>
      </w:r>
      <w:r>
        <w:rPr>
          <w:rFonts w:hint="eastAsia" w:ascii="仿宋_GB2312" w:hAnsi="Verdana" w:eastAsia="仿宋_GB2312" w:cs="仿宋_GB2312"/>
          <w:color w:val="000000" w:themeColor="text1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="仿宋_GB2312" w:hAnsi="Verdana" w:eastAsia="仿宋_GB2312" w:cs="仿宋_GB2312"/>
          <w:color w:val="000000" w:themeColor="text1"/>
          <w:kern w:val="0"/>
          <w:sz w:val="32"/>
          <w:szCs w:val="32"/>
          <w:highlight w:val="none"/>
          <w:shd w:val="clear" w:color="auto" w:fill="FFFFFF"/>
          <w:lang w:bidi="ar"/>
          <w14:textFill>
            <w14:solidFill>
              <w14:schemeClr w14:val="tx1"/>
            </w14:solidFill>
          </w14:textFill>
        </w:rPr>
        <w:t>米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以上的，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无需标注周边零售点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。　</w:t>
      </w:r>
    </w:p>
    <w:p w14:paraId="2BCF8EA9">
      <w:pPr>
        <w:widowControl/>
        <w:shd w:val="clear" w:color="auto" w:fill="FFFFFF"/>
        <w:spacing w:line="600" w:lineRule="exact"/>
        <w:ind w:firstLine="643"/>
        <w:jc w:val="left"/>
        <w:rPr>
          <w:rFonts w:ascii="Verdana" w:hAnsi="Verdana" w:eastAsia="Verdana" w:cs="Verdana"/>
          <w:color w:val="333333"/>
          <w:szCs w:val="21"/>
        </w:rPr>
      </w:pPr>
      <w:r>
        <w:rPr>
          <w:rFonts w:hint="eastAsia" w:ascii="黑体" w:hAnsi="黑体" w:eastAsia="黑体" w:cs="黑体"/>
          <w:sz w:val="32"/>
          <w:szCs w:val="32"/>
        </w:rPr>
        <w:t>第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</w:t>
      </w:r>
      <w:r>
        <w:rPr>
          <w:rFonts w:hint="eastAsia" w:ascii="黑体" w:hAnsi="黑体" w:eastAsia="黑体" w:cs="黑体"/>
          <w:sz w:val="32"/>
          <w:szCs w:val="32"/>
        </w:rPr>
        <w:t xml:space="preserve">条 </w:t>
      </w:r>
      <w:r>
        <w:rPr>
          <w:rFonts w:hint="eastAsia"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 xml:space="preserve"> </w:t>
      </w:r>
      <w:r>
        <w:rPr>
          <w:rFonts w:ascii="仿宋_GB2312" w:hAnsi="Verdana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其他特殊道路情况的测量，按照可通行的最短距离测量。</w:t>
      </w:r>
    </w:p>
    <w:p w14:paraId="51F9E5F7"/>
    <w:sectPr>
      <w:footerReference r:id="rId3" w:type="default"/>
      <w:pgSz w:w="11906" w:h="16838"/>
      <w:pgMar w:top="1417" w:right="1247" w:bottom="1417" w:left="124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A9FA5D"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-19050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D0B8B4">
                          <w:pPr>
                            <w:pStyle w:val="2"/>
                            <w:rPr>
                              <w:rFonts w:ascii="宋体" w:hAnsi="宋体"/>
                              <w:sz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</w:rPr>
                            <w:t>—</w: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t>　</w:t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t>7</w:t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t>　</w:t>
                          </w:r>
                          <w:r>
                            <w:rPr>
                              <w:rFonts w:ascii="宋体" w:hAnsi="宋体"/>
                              <w:sz w:val="28"/>
                            </w:rPr>
                            <w:t>—</w:t>
                          </w:r>
                        </w:p>
                      </w:txbxContent>
                    </wps:txbx>
                    <wps:bodyPr wrap="none" lIns="203200" tIns="0" rIns="20320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.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DxBncbSAAAABwEAAA8AAAAAAAAAAQAgAAAAIgAAAGRycy9k&#10;b3ducmV2LnhtbFBLAQIUABQAAAAIAIdO4kBfty8BzwEAAKUDAAAOAAAAAAAAAAEAIAAAACEBAABk&#10;cnMvZTJvRG9jLnhtbFBLBQYAAAAABgAGAFkBAABiBQAAAAA=&#10;">
              <v:fill on="f" focussize="0,0"/>
              <v:stroke on="f"/>
              <v:imagedata o:title=""/>
              <o:lock v:ext="edit" aspectratio="f"/>
              <v:textbox inset="16pt,0mm,16pt,0mm" style="mso-fit-shape-to-text:t;">
                <w:txbxContent>
                  <w:p w14:paraId="2FD0B8B4">
                    <w:pPr>
                      <w:pStyle w:val="2"/>
                      <w:rPr>
                        <w:rFonts w:ascii="宋体" w:hAnsi="宋体"/>
                        <w:sz w:val="28"/>
                      </w:rPr>
                    </w:pPr>
                    <w:r>
                      <w:rPr>
                        <w:rFonts w:ascii="宋体" w:hAnsi="宋体"/>
                        <w:sz w:val="28"/>
                      </w:rPr>
                      <w:t>—</w:t>
                    </w:r>
                    <w:r>
                      <w:rPr>
                        <w:rFonts w:ascii="宋体" w:hAnsi="宋体"/>
                        <w:sz w:val="24"/>
                      </w:rPr>
                      <w:t>　</w:t>
                    </w:r>
                    <w:r>
                      <w:rPr>
                        <w:rFonts w:ascii="宋体" w:hAnsi="宋体"/>
                        <w:sz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/>
                        <w:sz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</w:rPr>
                      <w:t>7</w:t>
                    </w:r>
                    <w:r>
                      <w:rPr>
                        <w:rFonts w:ascii="宋体" w:hAnsi="宋体"/>
                        <w:sz w:val="28"/>
                      </w:rPr>
                      <w:fldChar w:fldCharType="end"/>
                    </w:r>
                    <w:r>
                      <w:rPr>
                        <w:rFonts w:ascii="宋体" w:hAnsi="宋体"/>
                        <w:sz w:val="24"/>
                      </w:rPr>
                      <w:t>　</w:t>
                    </w:r>
                    <w:r>
                      <w:rPr>
                        <w:rFonts w:ascii="宋体" w:hAnsi="宋体"/>
                        <w:sz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kNGVjNjVmMmY5MDA5YTg0YzhjZDdjYzI2ODBmYTQifQ=="/>
  </w:docVars>
  <w:rsids>
    <w:rsidRoot w:val="00000000"/>
    <w:rsid w:val="09237740"/>
    <w:rsid w:val="0DAC04DE"/>
    <w:rsid w:val="1C493AD6"/>
    <w:rsid w:val="23F126A9"/>
    <w:rsid w:val="3BAF6B59"/>
    <w:rsid w:val="43560BAB"/>
    <w:rsid w:val="4B650D02"/>
    <w:rsid w:val="6ED91449"/>
    <w:rsid w:val="71E62BF6"/>
    <w:rsid w:val="7736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2034</Words>
  <Characters>2054</Characters>
  <Lines>0</Lines>
  <Paragraphs>0</Paragraphs>
  <TotalTime>5</TotalTime>
  <ScaleCrop>false</ScaleCrop>
  <LinksUpToDate>false</LinksUpToDate>
  <CharactersWithSpaces>2065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2025-03-13T02:46:00Z</dcterms:created>
  <dc:creator>lenovo</dc:creator>
  <cp:lastModifiedBy>杨万荣</cp:lastModifiedBy>
  <dcterms:modified xsi:type="dcterms:W3CDTF">2025-03-18T01:31:23Z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67F189DC6E3C477D96E5EEB56A80EB45_12</vt:lpwstr>
  </property>
</Properties>
</file>